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E78FC6">
      <w:pPr>
        <w:jc w:val="center"/>
        <w:rPr>
          <w:rFonts w:ascii="方正小标宋简体" w:hAnsi="宋体" w:eastAsia="方正小标宋简体"/>
          <w:b/>
          <w:bCs/>
          <w:sz w:val="52"/>
          <w:szCs w:val="52"/>
          <w:highlight w:val="none"/>
        </w:rPr>
      </w:pPr>
    </w:p>
    <w:p w14:paraId="6DC2A13F">
      <w:pPr>
        <w:jc w:val="center"/>
        <w:rPr>
          <w:rFonts w:hint="eastAsia" w:ascii="方正小标宋简体" w:hAnsi="宋体" w:eastAsia="方正小标宋简体"/>
          <w:b/>
          <w:bCs/>
          <w:sz w:val="52"/>
          <w:szCs w:val="52"/>
          <w:highlight w:val="none"/>
          <w:lang w:eastAsia="zh-CN"/>
        </w:rPr>
      </w:pPr>
      <w:r>
        <w:rPr>
          <w:rFonts w:hint="eastAsia" w:ascii="方正小标宋简体" w:hAnsi="宋体" w:eastAsia="方正小标宋简体"/>
          <w:b/>
          <w:bCs/>
          <w:sz w:val="52"/>
          <w:szCs w:val="52"/>
          <w:highlight w:val="none"/>
          <w:lang w:eastAsia="zh-CN"/>
        </w:rPr>
        <w:t>中国重汽新晋科级领导干部培训</w:t>
      </w:r>
    </w:p>
    <w:p w14:paraId="705BAA23">
      <w:pPr>
        <w:jc w:val="center"/>
        <w:rPr>
          <w:rFonts w:hint="default" w:ascii="方正小标宋简体" w:hAnsi="宋体" w:eastAsia="方正小标宋简体"/>
          <w:b/>
          <w:bCs/>
          <w:sz w:val="56"/>
          <w:szCs w:val="56"/>
          <w:highlight w:val="none"/>
          <w:lang w:val="en-US" w:eastAsia="zh-CN"/>
        </w:rPr>
      </w:pPr>
      <w:r>
        <w:rPr>
          <w:rFonts w:hint="eastAsia" w:ascii="方正小标宋简体" w:hAnsi="宋体" w:eastAsia="方正小标宋简体"/>
          <w:b/>
          <w:bCs/>
          <w:sz w:val="52"/>
          <w:szCs w:val="52"/>
          <w:highlight w:val="none"/>
          <w:lang w:eastAsia="zh-CN"/>
        </w:rPr>
        <w:t>场地招标书</w:t>
      </w:r>
    </w:p>
    <w:p w14:paraId="2A07E00D">
      <w:pPr>
        <w:jc w:val="right"/>
        <w:rPr>
          <w:rFonts w:hint="eastAsia"/>
          <w:sz w:val="28"/>
          <w:szCs w:val="28"/>
          <w:highlight w:val="none"/>
        </w:rPr>
      </w:pPr>
    </w:p>
    <w:p w14:paraId="1469EE86">
      <w:pPr>
        <w:jc w:val="right"/>
        <w:rPr>
          <w:sz w:val="28"/>
          <w:szCs w:val="28"/>
          <w:highlight w:val="none"/>
        </w:rPr>
      </w:pPr>
      <w:r>
        <w:rPr>
          <w:rFonts w:hint="eastAsia"/>
          <w:sz w:val="28"/>
          <w:szCs w:val="28"/>
          <w:highlight w:val="none"/>
        </w:rPr>
        <w:t>附：技术协议书</w:t>
      </w:r>
    </w:p>
    <w:p w14:paraId="17DF9C42">
      <w:pPr>
        <w:rPr>
          <w:sz w:val="28"/>
          <w:szCs w:val="28"/>
          <w:highlight w:val="none"/>
        </w:rPr>
      </w:pPr>
    </w:p>
    <w:p w14:paraId="340CC1E6">
      <w:pPr>
        <w:rPr>
          <w:highlight w:val="none"/>
        </w:rPr>
      </w:pPr>
    </w:p>
    <w:p w14:paraId="24434B61">
      <w:pPr>
        <w:jc w:val="center"/>
        <w:rPr>
          <w:rFonts w:ascii="黑体" w:hAnsi="宋体" w:eastAsia="黑体"/>
          <w:sz w:val="84"/>
          <w:szCs w:val="84"/>
          <w:highlight w:val="none"/>
        </w:rPr>
      </w:pPr>
      <w:r>
        <w:rPr>
          <w:rFonts w:hint="eastAsia" w:ascii="黑体" w:hAnsi="宋体" w:eastAsia="黑体"/>
          <w:sz w:val="84"/>
          <w:szCs w:val="84"/>
          <w:highlight w:val="none"/>
        </w:rPr>
        <w:t>招</w:t>
      </w:r>
    </w:p>
    <w:p w14:paraId="403EBFAD">
      <w:pPr>
        <w:jc w:val="center"/>
        <w:rPr>
          <w:rFonts w:ascii="黑体" w:hAnsi="宋体" w:eastAsia="黑体"/>
          <w:sz w:val="84"/>
          <w:szCs w:val="84"/>
          <w:highlight w:val="none"/>
        </w:rPr>
      </w:pPr>
      <w:r>
        <w:rPr>
          <w:rFonts w:hint="eastAsia" w:ascii="黑体" w:hAnsi="宋体" w:eastAsia="黑体"/>
          <w:sz w:val="84"/>
          <w:szCs w:val="84"/>
          <w:highlight w:val="none"/>
        </w:rPr>
        <w:t>标</w:t>
      </w:r>
    </w:p>
    <w:p w14:paraId="1DD9CDD8">
      <w:pPr>
        <w:jc w:val="center"/>
        <w:rPr>
          <w:rFonts w:ascii="黑体" w:hAnsi="宋体" w:eastAsia="黑体"/>
          <w:sz w:val="84"/>
          <w:szCs w:val="84"/>
          <w:highlight w:val="none"/>
        </w:rPr>
      </w:pPr>
      <w:r>
        <w:rPr>
          <w:rFonts w:hint="eastAsia" w:ascii="黑体" w:hAnsi="宋体" w:eastAsia="黑体"/>
          <w:sz w:val="84"/>
          <w:szCs w:val="84"/>
          <w:highlight w:val="none"/>
        </w:rPr>
        <w:t>文</w:t>
      </w:r>
    </w:p>
    <w:p w14:paraId="2090F5DE">
      <w:pPr>
        <w:jc w:val="center"/>
        <w:rPr>
          <w:rFonts w:ascii="黑体" w:hAnsi="黑体" w:eastAsia="黑体"/>
          <w:sz w:val="96"/>
          <w:highlight w:val="none"/>
        </w:rPr>
      </w:pPr>
      <w:r>
        <w:rPr>
          <w:rFonts w:hint="eastAsia" w:ascii="黑体" w:hAnsi="宋体" w:eastAsia="黑体"/>
          <w:sz w:val="84"/>
          <w:szCs w:val="84"/>
          <w:highlight w:val="none"/>
        </w:rPr>
        <w:t>件</w:t>
      </w:r>
    </w:p>
    <w:p w14:paraId="6CED41EC">
      <w:pPr>
        <w:jc w:val="center"/>
        <w:rPr>
          <w:rFonts w:ascii="黑体" w:hAnsi="黑体" w:eastAsia="黑体"/>
          <w:b/>
          <w:sz w:val="96"/>
          <w:highlight w:val="none"/>
        </w:rPr>
      </w:pPr>
    </w:p>
    <w:p w14:paraId="20B67DAC">
      <w:pPr>
        <w:pStyle w:val="13"/>
        <w:rPr>
          <w:rFonts w:ascii="黑体" w:hAnsi="黑体" w:eastAsia="黑体"/>
          <w:b/>
          <w:sz w:val="32"/>
          <w:szCs w:val="32"/>
          <w:highlight w:val="none"/>
        </w:rPr>
      </w:pPr>
      <w:r>
        <w:rPr>
          <w:rFonts w:ascii="黑体" w:hAnsi="黑体" w:eastAsia="黑体"/>
          <w:b/>
          <w:sz w:val="32"/>
          <w:szCs w:val="32"/>
          <w:highlight w:val="none"/>
        </w:rPr>
        <w:br w:type="textWrapping"/>
      </w:r>
    </w:p>
    <w:p w14:paraId="76421E8F">
      <w:pPr>
        <w:jc w:val="center"/>
        <w:rPr>
          <w:rFonts w:ascii="宋体" w:hAnsi="宋体"/>
          <w:sz w:val="28"/>
          <w:szCs w:val="28"/>
          <w:highlight w:val="none"/>
        </w:rPr>
      </w:pPr>
      <w:r>
        <w:rPr>
          <w:rFonts w:hint="eastAsia" w:ascii="宋体" w:hAnsi="宋体"/>
          <w:sz w:val="28"/>
          <w:szCs w:val="28"/>
          <w:highlight w:val="none"/>
        </w:rPr>
        <w:t>招标人：中国重汽集团济南动力有限公司</w:t>
      </w:r>
    </w:p>
    <w:p w14:paraId="0EC6A49F">
      <w:pPr>
        <w:jc w:val="center"/>
        <w:rPr>
          <w:rFonts w:ascii="宋体" w:hAnsi="宋体"/>
          <w:sz w:val="28"/>
          <w:szCs w:val="28"/>
          <w:highlight w:val="none"/>
        </w:rPr>
      </w:pPr>
      <w:r>
        <w:rPr>
          <w:rFonts w:hint="eastAsia" w:ascii="宋体" w:hAnsi="宋体"/>
          <w:sz w:val="28"/>
          <w:szCs w:val="28"/>
          <w:highlight w:val="none"/>
        </w:rPr>
        <w:t>2</w:t>
      </w:r>
      <w:r>
        <w:rPr>
          <w:rFonts w:ascii="宋体" w:hAnsi="宋体"/>
          <w:sz w:val="28"/>
          <w:szCs w:val="28"/>
          <w:highlight w:val="none"/>
        </w:rPr>
        <w:t>02</w:t>
      </w:r>
      <w:r>
        <w:rPr>
          <w:rFonts w:hint="eastAsia" w:ascii="宋体" w:hAnsi="宋体"/>
          <w:sz w:val="28"/>
          <w:szCs w:val="28"/>
          <w:highlight w:val="none"/>
          <w:lang w:val="en-US" w:eastAsia="zh-CN"/>
        </w:rPr>
        <w:t>5</w:t>
      </w:r>
      <w:r>
        <w:rPr>
          <w:rFonts w:hint="eastAsia" w:ascii="宋体" w:hAnsi="宋体"/>
          <w:sz w:val="28"/>
          <w:szCs w:val="28"/>
          <w:highlight w:val="none"/>
        </w:rPr>
        <w:t>年</w:t>
      </w:r>
      <w:r>
        <w:rPr>
          <w:rFonts w:hint="eastAsia" w:ascii="宋体" w:hAnsi="宋体"/>
          <w:sz w:val="28"/>
          <w:szCs w:val="28"/>
          <w:highlight w:val="none"/>
          <w:lang w:val="en-US" w:eastAsia="zh-CN"/>
        </w:rPr>
        <w:t>10</w:t>
      </w:r>
      <w:r>
        <w:rPr>
          <w:rFonts w:hint="eastAsia" w:ascii="宋体" w:hAnsi="宋体"/>
          <w:sz w:val="28"/>
          <w:szCs w:val="28"/>
          <w:highlight w:val="none"/>
        </w:rPr>
        <w:t>月</w:t>
      </w:r>
    </w:p>
    <w:p w14:paraId="4E0104D4">
      <w:pPr>
        <w:rPr>
          <w:highlight w:val="none"/>
        </w:rPr>
      </w:pPr>
    </w:p>
    <w:p w14:paraId="504D5385">
      <w:pPr>
        <w:jc w:val="center"/>
        <w:rPr>
          <w:rFonts w:ascii="宋体" w:hAnsi="宋体"/>
          <w:highlight w:val="none"/>
        </w:rPr>
      </w:pPr>
    </w:p>
    <w:p w14:paraId="78CAAE5B">
      <w:pPr>
        <w:spacing w:line="500" w:lineRule="exact"/>
        <w:jc w:val="center"/>
        <w:rPr>
          <w:rFonts w:ascii="宋体" w:hAnsi="宋体" w:cs="宋体"/>
          <w:b/>
          <w:bCs/>
          <w:sz w:val="44"/>
          <w:szCs w:val="44"/>
          <w:highlight w:val="none"/>
        </w:rPr>
        <w:sectPr>
          <w:footerReference r:id="rId4" w:type="first"/>
          <w:headerReference r:id="rId3" w:type="default"/>
          <w:pgSz w:w="11906" w:h="16838"/>
          <w:pgMar w:top="1588" w:right="1418" w:bottom="1134" w:left="1418" w:header="851" w:footer="992" w:gutter="0"/>
          <w:pgNumType w:fmt="decimal"/>
          <w:cols w:space="720" w:num="1"/>
          <w:titlePg/>
          <w:docGrid w:type="lines" w:linePitch="312" w:charSpace="0"/>
        </w:sectPr>
      </w:pPr>
    </w:p>
    <w:p w14:paraId="3CF0F392">
      <w:pPr>
        <w:pStyle w:val="13"/>
        <w:rPr>
          <w:highlight w:val="none"/>
        </w:rPr>
      </w:pPr>
    </w:p>
    <w:p w14:paraId="3A1C882C">
      <w:pPr>
        <w:spacing w:line="500" w:lineRule="exact"/>
        <w:jc w:val="center"/>
        <w:rPr>
          <w:rFonts w:ascii="宋体" w:hAnsi="宋体" w:cs="宋体"/>
          <w:b/>
          <w:bCs/>
          <w:sz w:val="44"/>
          <w:szCs w:val="44"/>
          <w:highlight w:val="none"/>
        </w:rPr>
      </w:pPr>
      <w:r>
        <w:rPr>
          <w:rFonts w:hint="eastAsia" w:ascii="宋体" w:hAnsi="宋体" w:cs="宋体"/>
          <w:b/>
          <w:bCs/>
          <w:sz w:val="44"/>
          <w:szCs w:val="44"/>
          <w:highlight w:val="none"/>
        </w:rPr>
        <w:t>目录</w:t>
      </w:r>
    </w:p>
    <w:p w14:paraId="4322A8D5">
      <w:pPr>
        <w:pStyle w:val="13"/>
        <w:spacing w:line="500" w:lineRule="exact"/>
        <w:rPr>
          <w:rFonts w:ascii="宋体" w:hAnsi="宋体" w:cs="宋体"/>
          <w:b/>
          <w:bCs/>
          <w:sz w:val="30"/>
          <w:szCs w:val="30"/>
          <w:highlight w:val="none"/>
        </w:rPr>
      </w:pPr>
    </w:p>
    <w:p w14:paraId="5AB1BFA9">
      <w:pPr>
        <w:pStyle w:val="13"/>
        <w:spacing w:line="500" w:lineRule="exact"/>
        <w:rPr>
          <w:rFonts w:ascii="宋体" w:hAnsi="宋体" w:cs="宋体"/>
          <w:b/>
          <w:bCs/>
          <w:sz w:val="30"/>
          <w:szCs w:val="30"/>
          <w:highlight w:val="none"/>
        </w:rPr>
      </w:pPr>
    </w:p>
    <w:p w14:paraId="7EB7A59A">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"_Toc14413" </w:instrText>
      </w:r>
      <w:r>
        <w:rPr>
          <w:highlight w:val="none"/>
        </w:rPr>
        <w:fldChar w:fldCharType="separate"/>
      </w:r>
      <w:r>
        <w:rPr>
          <w:rFonts w:hint="eastAsia" w:ascii="仿宋_GB2312" w:hAnsi="仿宋_GB2312" w:eastAsia="仿宋_GB2312" w:cs="仿宋_GB2312"/>
          <w:bCs/>
          <w:sz w:val="30"/>
          <w:szCs w:val="30"/>
          <w:highlight w:val="none"/>
        </w:rPr>
        <w:t>一、投标人须知</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2</w:t>
      </w:r>
      <w:r>
        <w:rPr>
          <w:rFonts w:hint="eastAsia" w:ascii="仿宋_GB2312" w:hAnsi="仿宋_GB2312" w:eastAsia="仿宋_GB2312" w:cs="仿宋_GB2312"/>
          <w:bCs/>
          <w:sz w:val="30"/>
          <w:szCs w:val="30"/>
          <w:highlight w:val="none"/>
        </w:rPr>
        <w:fldChar w:fldCharType="end"/>
      </w:r>
    </w:p>
    <w:p w14:paraId="404FD538">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"_Toc26596" </w:instrText>
      </w:r>
      <w:r>
        <w:rPr>
          <w:highlight w:val="none"/>
        </w:rPr>
        <w:fldChar w:fldCharType="separate"/>
      </w:r>
      <w:r>
        <w:rPr>
          <w:rFonts w:hint="eastAsia" w:ascii="仿宋_GB2312" w:hAnsi="仿宋_GB2312" w:eastAsia="仿宋_GB2312" w:cs="仿宋_GB2312"/>
          <w:bCs/>
          <w:sz w:val="30"/>
          <w:szCs w:val="30"/>
          <w:highlight w:val="none"/>
        </w:rPr>
        <w:t>二、投标人资格条件及要求</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2</w:t>
      </w:r>
      <w:r>
        <w:rPr>
          <w:rFonts w:hint="eastAsia" w:ascii="仿宋_GB2312" w:hAnsi="仿宋_GB2312" w:eastAsia="仿宋_GB2312" w:cs="仿宋_GB2312"/>
          <w:bCs/>
          <w:sz w:val="30"/>
          <w:szCs w:val="30"/>
          <w:highlight w:val="none"/>
        </w:rPr>
        <w:fldChar w:fldCharType="end"/>
      </w:r>
    </w:p>
    <w:p w14:paraId="59263CA9">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"_Toc25722" </w:instrText>
      </w:r>
      <w:r>
        <w:rPr>
          <w:highlight w:val="none"/>
        </w:rPr>
        <w:fldChar w:fldCharType="separate"/>
      </w:r>
      <w:r>
        <w:rPr>
          <w:rFonts w:hint="eastAsia" w:ascii="仿宋_GB2312" w:hAnsi="仿宋_GB2312" w:eastAsia="仿宋_GB2312" w:cs="仿宋_GB2312"/>
          <w:bCs/>
          <w:sz w:val="30"/>
          <w:szCs w:val="30"/>
          <w:highlight w:val="none"/>
        </w:rPr>
        <w:t>三、投标说明</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4</w:t>
      </w:r>
      <w:r>
        <w:rPr>
          <w:rFonts w:hint="eastAsia" w:ascii="仿宋_GB2312" w:hAnsi="仿宋_GB2312" w:eastAsia="仿宋_GB2312" w:cs="仿宋_GB2312"/>
          <w:bCs/>
          <w:sz w:val="30"/>
          <w:szCs w:val="30"/>
          <w:highlight w:val="none"/>
        </w:rPr>
        <w:fldChar w:fldCharType="end"/>
      </w:r>
    </w:p>
    <w:p w14:paraId="4484151B">
      <w:pPr>
        <w:pStyle w:val="42"/>
        <w:tabs>
          <w:tab w:val="right" w:leader="dot" w:pos="9070"/>
        </w:tabs>
        <w:spacing w:line="500" w:lineRule="exact"/>
        <w:rPr>
          <w:rFonts w:ascii="仿宋_GB2312" w:hAnsi="仿宋_GB2312" w:eastAsia="仿宋_GB2312" w:cs="仿宋_GB2312"/>
          <w:bCs/>
          <w:sz w:val="30"/>
          <w:szCs w:val="30"/>
          <w:highlight w:val="none"/>
        </w:rPr>
      </w:pPr>
      <w:r>
        <w:rPr>
          <w:highlight w:val="none"/>
        </w:rPr>
        <w:fldChar w:fldCharType="begin"/>
      </w:r>
      <w:r>
        <w:rPr>
          <w:highlight w:val="none"/>
        </w:rPr>
        <w:instrText xml:space="preserve"> HYPERLINK \l "_Toc30928" </w:instrText>
      </w:r>
      <w:r>
        <w:rPr>
          <w:highlight w:val="none"/>
        </w:rPr>
        <w:fldChar w:fldCharType="separate"/>
      </w:r>
      <w:r>
        <w:rPr>
          <w:rFonts w:hint="eastAsia" w:ascii="仿宋_GB2312" w:hAnsi="仿宋_GB2312" w:eastAsia="仿宋_GB2312" w:cs="仿宋_GB2312"/>
          <w:bCs/>
          <w:sz w:val="30"/>
          <w:szCs w:val="30"/>
          <w:highlight w:val="none"/>
        </w:rPr>
        <w:t>四、投标文件</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9</w:t>
      </w:r>
      <w:r>
        <w:rPr>
          <w:rFonts w:hint="eastAsia" w:ascii="仿宋_GB2312" w:hAnsi="仿宋_GB2312" w:eastAsia="仿宋_GB2312" w:cs="仿宋_GB2312"/>
          <w:bCs/>
          <w:sz w:val="30"/>
          <w:szCs w:val="30"/>
          <w:highlight w:val="none"/>
        </w:rPr>
        <w:fldChar w:fldCharType="end"/>
      </w:r>
    </w:p>
    <w:p w14:paraId="53500FCA">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"_Toc22774" </w:instrText>
      </w:r>
      <w:r>
        <w:rPr>
          <w:highlight w:val="none"/>
        </w:rPr>
        <w:fldChar w:fldCharType="separate"/>
      </w:r>
      <w:r>
        <w:rPr>
          <w:rFonts w:hint="eastAsia" w:ascii="仿宋_GB2312" w:hAnsi="仿宋_GB2312" w:eastAsia="仿宋_GB2312" w:cs="仿宋_GB2312"/>
          <w:bCs/>
          <w:sz w:val="30"/>
          <w:szCs w:val="30"/>
          <w:highlight w:val="none"/>
        </w:rPr>
        <w:t>五、合同签订</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1</w:t>
      </w:r>
    </w:p>
    <w:p w14:paraId="42283631">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"_Toc28350" </w:instrText>
      </w:r>
      <w:r>
        <w:rPr>
          <w:highlight w:val="none"/>
        </w:rPr>
        <w:fldChar w:fldCharType="separate"/>
      </w:r>
      <w:r>
        <w:rPr>
          <w:rFonts w:hint="eastAsia" w:ascii="仿宋_GB2312" w:hAnsi="仿宋_GB2312" w:eastAsia="仿宋_GB2312" w:cs="仿宋_GB2312"/>
          <w:bCs/>
          <w:sz w:val="30"/>
          <w:szCs w:val="30"/>
          <w:highlight w:val="none"/>
        </w:rPr>
        <w:t>六、废标及终止招标</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 w:eastAsia="仿宋_GB2312" w:cs="Times New Roman"/>
          <w:bCs w:val="0"/>
          <w:kern w:val="2"/>
          <w:sz w:val="30"/>
          <w:szCs w:val="30"/>
          <w:highlight w:val="none"/>
          <w:lang w:val="en-US" w:eastAsia="zh-CN"/>
        </w:rPr>
        <w:t>2</w:t>
      </w:r>
    </w:p>
    <w:p w14:paraId="5F14655C">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"_Toc8621" </w:instrText>
      </w:r>
      <w:r>
        <w:rPr>
          <w:highlight w:val="none"/>
        </w:rPr>
        <w:fldChar w:fldCharType="separate"/>
      </w:r>
      <w:r>
        <w:rPr>
          <w:rFonts w:hint="eastAsia" w:ascii="仿宋_GB2312" w:hAnsi="仿宋_GB2312" w:eastAsia="仿宋_GB2312" w:cs="仿宋_GB2312"/>
          <w:bCs/>
          <w:sz w:val="30"/>
          <w:szCs w:val="30"/>
          <w:highlight w:val="none"/>
        </w:rPr>
        <w:t>七、中标人瑕疵滞后发现的处理原则</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2491756A">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"_Toc10048" </w:instrText>
      </w:r>
      <w:r>
        <w:rPr>
          <w:highlight w:val="none"/>
        </w:rPr>
        <w:fldChar w:fldCharType="separate"/>
      </w:r>
      <w:r>
        <w:rPr>
          <w:rFonts w:hint="eastAsia" w:ascii="仿宋_GB2312" w:hAnsi="仿宋_GB2312" w:eastAsia="仿宋_GB2312" w:cs="仿宋_GB2312"/>
          <w:bCs/>
          <w:sz w:val="30"/>
          <w:szCs w:val="30"/>
          <w:highlight w:val="none"/>
        </w:rPr>
        <w:t>八、投标文件格式</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510E174F">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"_Toc2515" </w:instrText>
      </w:r>
      <w:r>
        <w:rPr>
          <w:highlight w:val="none"/>
        </w:rPr>
        <w:fldChar w:fldCharType="separate"/>
      </w:r>
      <w:r>
        <w:rPr>
          <w:rFonts w:hint="eastAsia" w:ascii="仿宋_GB2312" w:hAnsi="仿宋_GB2312" w:eastAsia="仿宋_GB2312" w:cs="仿宋_GB2312"/>
          <w:bCs/>
          <w:sz w:val="30"/>
          <w:szCs w:val="30"/>
          <w:highlight w:val="none"/>
        </w:rPr>
        <w:t>九、技术协议书</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4863346B">
      <w:pPr>
        <w:pStyle w:val="42"/>
        <w:tabs>
          <w:tab w:val="right" w:leader="dot" w:pos="9070"/>
        </w:tabs>
        <w:spacing w:line="500" w:lineRule="exact"/>
        <w:rPr>
          <w:rFonts w:hint="eastAsia" w:ascii="仿宋_GB2312" w:hAnsi="仿宋_GB2312" w:eastAsia="仿宋_GB2312" w:cs="仿宋_GB2312"/>
          <w:bCs/>
          <w:sz w:val="30"/>
          <w:szCs w:val="30"/>
          <w:highlight w:val="none"/>
          <w:lang w:val="en-US" w:eastAsia="zh-CN"/>
        </w:rPr>
      </w:pPr>
      <w:r>
        <w:rPr>
          <w:highlight w:val="none"/>
        </w:rPr>
        <w:fldChar w:fldCharType="begin"/>
      </w:r>
      <w:r>
        <w:rPr>
          <w:highlight w:val="none"/>
        </w:rPr>
        <w:instrText xml:space="preserve"> HYPERLINK \l "_Toc23780" </w:instrText>
      </w:r>
      <w:r>
        <w:rPr>
          <w:highlight w:val="none"/>
        </w:rPr>
        <w:fldChar w:fldCharType="separate"/>
      </w:r>
      <w:r>
        <w:rPr>
          <w:rFonts w:hint="eastAsia" w:ascii="仿宋_GB2312" w:hAnsi="仿宋_GB2312" w:eastAsia="仿宋_GB2312" w:cs="仿宋_GB2312"/>
          <w:bCs/>
          <w:sz w:val="30"/>
          <w:szCs w:val="30"/>
          <w:highlight w:val="none"/>
        </w:rPr>
        <w:t>十、解释权</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w:t>
      </w:r>
      <w:r>
        <w:rPr>
          <w:rFonts w:hint="eastAsia" w:ascii="仿宋_GB2312" w:hAnsi="仿宋_GB2312" w:eastAsia="仿宋_GB2312" w:cs="仿宋_GB2312"/>
          <w:bCs/>
          <w:sz w:val="30"/>
          <w:szCs w:val="30"/>
          <w:highlight w:val="none"/>
        </w:rPr>
        <w:fldChar w:fldCharType="end"/>
      </w:r>
      <w:r>
        <w:rPr>
          <w:rFonts w:hint="eastAsia" w:ascii="仿宋_GB2312" w:hAnsi="仿宋_GB2312" w:eastAsia="仿宋_GB2312" w:cs="仿宋_GB2312"/>
          <w:bCs/>
          <w:sz w:val="30"/>
          <w:szCs w:val="30"/>
          <w:highlight w:val="none"/>
          <w:lang w:val="en-US" w:eastAsia="zh-CN"/>
        </w:rPr>
        <w:t>3</w:t>
      </w:r>
    </w:p>
    <w:p w14:paraId="76E0EC12">
      <w:pPr>
        <w:pStyle w:val="42"/>
        <w:tabs>
          <w:tab w:val="right" w:leader="dot" w:pos="9070"/>
        </w:tabs>
        <w:spacing w:line="500" w:lineRule="exact"/>
        <w:rPr>
          <w:rFonts w:hint="default" w:ascii="仿宋_GB2312" w:hAnsi="仿宋_GB2312" w:eastAsia="仿宋_GB2312" w:cs="仿宋_GB2312"/>
          <w:bCs/>
          <w:sz w:val="30"/>
          <w:szCs w:val="30"/>
          <w:highlight w:val="none"/>
          <w:lang w:val="en-US" w:eastAsia="zh-CN"/>
        </w:rPr>
      </w:pPr>
      <w:r>
        <w:rPr>
          <w:rFonts w:hint="eastAsia" w:ascii="仿宋_GB2312" w:hAnsi="仿宋_GB2312" w:eastAsia="仿宋_GB2312" w:cs="仿宋_GB2312"/>
          <w:bCs/>
          <w:sz w:val="30"/>
          <w:szCs w:val="30"/>
          <w:highlight w:val="none"/>
        </w:rPr>
        <w:t>附件：</w:t>
      </w:r>
      <w:r>
        <w:rPr>
          <w:rFonts w:hint="eastAsia" w:ascii="仿宋_GB2312" w:hAnsi="仿宋_GB2312" w:eastAsia="仿宋_GB2312" w:cs="仿宋_GB2312"/>
          <w:bCs/>
          <w:sz w:val="30"/>
          <w:szCs w:val="30"/>
          <w:highlight w:val="none"/>
        </w:rPr>
        <w:tab/>
      </w:r>
      <w:r>
        <w:rPr>
          <w:rFonts w:hint="eastAsia" w:ascii="仿宋_GB2312" w:hAnsi="仿宋_GB2312" w:eastAsia="仿宋_GB2312" w:cs="仿宋_GB2312"/>
          <w:bCs/>
          <w:sz w:val="30"/>
          <w:szCs w:val="30"/>
          <w:highlight w:val="none"/>
          <w:lang w:val="en-US" w:eastAsia="zh-CN"/>
        </w:rPr>
        <w:t>14</w:t>
      </w:r>
    </w:p>
    <w:p w14:paraId="3F66A0A4">
      <w:pPr>
        <w:spacing w:line="500" w:lineRule="exact"/>
        <w:ind w:firstLine="602" w:firstLineChars="200"/>
        <w:jc w:val="left"/>
        <w:rPr>
          <w:rFonts w:ascii="黑体" w:hAnsi="黑体" w:eastAsia="黑体" w:cs="黑体"/>
          <w:b/>
          <w:bCs/>
          <w:sz w:val="30"/>
          <w:szCs w:val="30"/>
          <w:highlight w:val="none"/>
        </w:rPr>
      </w:pPr>
    </w:p>
    <w:p w14:paraId="5CE7860B">
      <w:pPr>
        <w:spacing w:line="500" w:lineRule="exact"/>
        <w:ind w:firstLine="602" w:firstLineChars="200"/>
        <w:jc w:val="left"/>
        <w:rPr>
          <w:rFonts w:ascii="黑体" w:hAnsi="黑体" w:eastAsia="黑体" w:cs="黑体"/>
          <w:b/>
          <w:bCs/>
          <w:sz w:val="30"/>
          <w:szCs w:val="30"/>
          <w:highlight w:val="none"/>
        </w:rPr>
      </w:pPr>
    </w:p>
    <w:p w14:paraId="3A3E3BAC">
      <w:pPr>
        <w:spacing w:line="500" w:lineRule="exact"/>
        <w:ind w:firstLine="602" w:firstLineChars="200"/>
        <w:jc w:val="left"/>
        <w:rPr>
          <w:rFonts w:ascii="黑体" w:hAnsi="黑体" w:eastAsia="黑体" w:cs="黑体"/>
          <w:b/>
          <w:bCs/>
          <w:sz w:val="30"/>
          <w:szCs w:val="30"/>
          <w:highlight w:val="none"/>
        </w:rPr>
      </w:pPr>
    </w:p>
    <w:p w14:paraId="30535206">
      <w:pPr>
        <w:spacing w:line="500" w:lineRule="exact"/>
        <w:ind w:firstLine="602" w:firstLineChars="200"/>
        <w:jc w:val="left"/>
        <w:rPr>
          <w:rFonts w:ascii="黑体" w:hAnsi="黑体" w:eastAsia="黑体" w:cs="黑体"/>
          <w:b/>
          <w:bCs/>
          <w:sz w:val="30"/>
          <w:szCs w:val="30"/>
          <w:highlight w:val="none"/>
        </w:rPr>
      </w:pPr>
    </w:p>
    <w:p w14:paraId="1B590A16">
      <w:pPr>
        <w:pStyle w:val="42"/>
        <w:tabs>
          <w:tab w:val="right" w:leader="dot" w:pos="9070"/>
        </w:tabs>
        <w:spacing w:line="500" w:lineRule="exact"/>
        <w:rPr>
          <w:rFonts w:ascii="黑体" w:hAnsi="黑体" w:eastAsia="黑体" w:cs="黑体"/>
          <w:b/>
          <w:bCs/>
          <w:sz w:val="30"/>
          <w:szCs w:val="30"/>
          <w:highlight w:val="none"/>
        </w:rPr>
      </w:pPr>
    </w:p>
    <w:p w14:paraId="2DCD1765">
      <w:pPr>
        <w:pStyle w:val="42"/>
        <w:tabs>
          <w:tab w:val="right" w:leader="dot" w:pos="9070"/>
        </w:tabs>
        <w:spacing w:line="500" w:lineRule="exact"/>
        <w:rPr>
          <w:rFonts w:ascii="黑体" w:hAnsi="黑体" w:eastAsia="黑体" w:cs="黑体"/>
          <w:b/>
          <w:bCs/>
          <w:sz w:val="30"/>
          <w:szCs w:val="30"/>
          <w:highlight w:val="none"/>
        </w:rPr>
      </w:pPr>
    </w:p>
    <w:p w14:paraId="5FCBEC70">
      <w:pPr>
        <w:pStyle w:val="42"/>
        <w:tabs>
          <w:tab w:val="right" w:leader="dot" w:pos="9070"/>
        </w:tabs>
        <w:spacing w:line="500" w:lineRule="exact"/>
        <w:rPr>
          <w:rFonts w:ascii="黑体" w:hAnsi="黑体" w:eastAsia="黑体" w:cs="黑体"/>
          <w:b/>
          <w:bCs/>
          <w:sz w:val="30"/>
          <w:szCs w:val="30"/>
          <w:highlight w:val="none"/>
        </w:rPr>
      </w:pPr>
    </w:p>
    <w:p w14:paraId="2F39D2BC">
      <w:pPr>
        <w:pStyle w:val="42"/>
        <w:tabs>
          <w:tab w:val="right" w:leader="dot" w:pos="9070"/>
        </w:tabs>
        <w:spacing w:line="500" w:lineRule="exact"/>
        <w:rPr>
          <w:rFonts w:ascii="黑体" w:hAnsi="黑体" w:eastAsia="黑体" w:cs="黑体"/>
          <w:b/>
          <w:bCs/>
          <w:sz w:val="30"/>
          <w:szCs w:val="30"/>
          <w:highlight w:val="none"/>
        </w:rPr>
      </w:pPr>
    </w:p>
    <w:p w14:paraId="6BA25264">
      <w:pPr>
        <w:pStyle w:val="42"/>
        <w:tabs>
          <w:tab w:val="right" w:leader="dot" w:pos="9070"/>
        </w:tabs>
        <w:spacing w:line="500" w:lineRule="exact"/>
        <w:rPr>
          <w:rFonts w:ascii="黑体" w:hAnsi="黑体" w:eastAsia="黑体" w:cs="黑体"/>
          <w:b/>
          <w:bCs/>
          <w:sz w:val="30"/>
          <w:szCs w:val="30"/>
          <w:highlight w:val="none"/>
        </w:rPr>
      </w:pPr>
    </w:p>
    <w:p w14:paraId="0109CBDD">
      <w:pPr>
        <w:pStyle w:val="42"/>
        <w:tabs>
          <w:tab w:val="right" w:leader="dot" w:pos="9070"/>
        </w:tabs>
        <w:spacing w:line="500" w:lineRule="exact"/>
        <w:rPr>
          <w:rFonts w:ascii="黑体" w:hAnsi="黑体" w:eastAsia="黑体" w:cs="黑体"/>
          <w:b/>
          <w:bCs/>
          <w:sz w:val="30"/>
          <w:szCs w:val="30"/>
          <w:highlight w:val="none"/>
        </w:rPr>
      </w:pPr>
    </w:p>
    <w:p w14:paraId="313E264D">
      <w:pPr>
        <w:pStyle w:val="42"/>
        <w:tabs>
          <w:tab w:val="right" w:leader="dot" w:pos="9070"/>
        </w:tabs>
        <w:spacing w:line="500" w:lineRule="exact"/>
        <w:rPr>
          <w:rFonts w:ascii="黑体" w:hAnsi="黑体" w:eastAsia="黑体" w:cs="黑体"/>
          <w:b/>
          <w:bCs/>
          <w:sz w:val="30"/>
          <w:szCs w:val="30"/>
          <w:highlight w:val="none"/>
        </w:rPr>
      </w:pPr>
    </w:p>
    <w:p w14:paraId="0E99DB36">
      <w:pPr>
        <w:pStyle w:val="42"/>
        <w:tabs>
          <w:tab w:val="right" w:leader="dot" w:pos="9070"/>
        </w:tabs>
        <w:spacing w:line="500" w:lineRule="exact"/>
        <w:rPr>
          <w:rFonts w:ascii="黑体" w:hAnsi="黑体" w:eastAsia="黑体" w:cs="黑体"/>
          <w:b/>
          <w:bCs/>
          <w:sz w:val="30"/>
          <w:szCs w:val="30"/>
          <w:highlight w:val="none"/>
        </w:rPr>
      </w:pPr>
    </w:p>
    <w:p w14:paraId="242AEDDC">
      <w:pPr>
        <w:spacing w:line="500" w:lineRule="exact"/>
        <w:jc w:val="left"/>
        <w:rPr>
          <w:rFonts w:ascii="黑体" w:hAnsi="黑体" w:eastAsia="黑体" w:cs="黑体"/>
          <w:b/>
          <w:bCs/>
          <w:sz w:val="30"/>
          <w:szCs w:val="30"/>
          <w:highlight w:val="none"/>
        </w:rPr>
      </w:pPr>
    </w:p>
    <w:p w14:paraId="1FD7CC88">
      <w:pPr>
        <w:pageBreakBefore w:val="0"/>
        <w:kinsoku/>
        <w:wordWrap/>
        <w:overflowPunct/>
        <w:topLinePunct w:val="0"/>
        <w:bidi w:val="0"/>
        <w:spacing w:line="520" w:lineRule="exact"/>
        <w:ind w:firstLine="602" w:firstLineChars="200"/>
        <w:jc w:val="left"/>
        <w:textAlignment w:val="auto"/>
        <w:outlineLvl w:val="0"/>
        <w:rPr>
          <w:rFonts w:ascii="黑体" w:hAnsi="黑体" w:eastAsia="黑体" w:cs="黑体"/>
          <w:b/>
          <w:bCs/>
          <w:sz w:val="30"/>
          <w:szCs w:val="30"/>
          <w:highlight w:val="none"/>
        </w:rPr>
      </w:pPr>
      <w:bookmarkStart w:id="0" w:name="_Toc14413"/>
      <w:r>
        <w:rPr>
          <w:rFonts w:hint="eastAsia" w:ascii="黑体" w:hAnsi="黑体" w:eastAsia="黑体" w:cs="黑体"/>
          <w:b/>
          <w:bCs/>
          <w:sz w:val="30"/>
          <w:szCs w:val="30"/>
          <w:highlight w:val="none"/>
        </w:rPr>
        <w:t>一、投标人须知</w:t>
      </w:r>
      <w:bookmarkEnd w:id="0"/>
    </w:p>
    <w:p w14:paraId="0A7A1747">
      <w:pPr>
        <w:pageBreakBefore w:val="0"/>
        <w:kinsoku/>
        <w:wordWrap/>
        <w:overflowPunct/>
        <w:topLinePunct w:val="0"/>
        <w:bidi w:val="0"/>
        <w:spacing w:line="520" w:lineRule="exact"/>
        <w:ind w:left="596" w:leftChars="284" w:firstLine="0" w:firstLineChars="0"/>
        <w:jc w:val="left"/>
        <w:textAlignment w:val="auto"/>
        <w:rPr>
          <w:rFonts w:hint="eastAsia" w:ascii="仿宋_GB2312" w:hAnsi="仿宋" w:eastAsia="仿宋_GB2312"/>
          <w:sz w:val="30"/>
          <w:szCs w:val="30"/>
          <w:highlight w:val="none"/>
          <w:lang w:eastAsia="zh-CN"/>
        </w:rPr>
      </w:pPr>
      <w:r>
        <w:rPr>
          <w:rFonts w:hint="eastAsia" w:ascii="仿宋_GB2312" w:hAnsi="仿宋" w:eastAsia="仿宋_GB2312"/>
          <w:sz w:val="30"/>
          <w:szCs w:val="30"/>
          <w:highlight w:val="none"/>
          <w:lang w:val="en-US" w:eastAsia="zh-CN"/>
        </w:rPr>
        <w:t>1.项目编号：</w:t>
      </w:r>
      <w:r>
        <w:rPr>
          <w:rFonts w:hint="eastAsia" w:ascii="仿宋_GB2312" w:hAnsi="仿宋" w:eastAsia="仿宋_GB2312"/>
          <w:sz w:val="30"/>
          <w:szCs w:val="30"/>
          <w:highlight w:val="none"/>
        </w:rPr>
        <w:t>FSCZB2025090182</w:t>
      </w:r>
      <w:r>
        <w:rPr>
          <w:rFonts w:hint="eastAsia" w:ascii="仿宋_GB2312" w:hAnsi="仿宋" w:eastAsia="仿宋_GB2312"/>
          <w:sz w:val="30"/>
          <w:szCs w:val="30"/>
          <w:highlight w:val="none"/>
        </w:rPr>
        <w:br w:type="textWrapping"/>
      </w:r>
      <w:r>
        <w:rPr>
          <w:rFonts w:hint="eastAsia" w:ascii="仿宋_GB2312" w:hAnsi="仿宋" w:eastAsia="仿宋_GB2312"/>
          <w:sz w:val="30"/>
          <w:szCs w:val="30"/>
          <w:highlight w:val="none"/>
          <w:lang w:val="en-US" w:eastAsia="zh-CN"/>
        </w:rPr>
        <w:t>2</w:t>
      </w:r>
      <w:r>
        <w:rPr>
          <w:rFonts w:hint="eastAsia" w:ascii="仿宋_GB2312" w:hAnsi="仿宋" w:eastAsia="仿宋_GB2312"/>
          <w:sz w:val="30"/>
          <w:szCs w:val="30"/>
          <w:highlight w:val="none"/>
        </w:rPr>
        <w:t>.招</w:t>
      </w:r>
      <w:r>
        <w:rPr>
          <w:rFonts w:hint="eastAsia" w:ascii="仿宋_GB2312" w:hAnsi="仿宋" w:eastAsia="仿宋_GB2312"/>
          <w:sz w:val="30"/>
          <w:szCs w:val="30"/>
          <w:highlight w:val="none"/>
          <w:lang w:val="en-US" w:eastAsia="zh-CN"/>
        </w:rPr>
        <w:t xml:space="preserve"> </w:t>
      </w:r>
      <w:r>
        <w:rPr>
          <w:rFonts w:hint="eastAsia" w:ascii="仿宋_GB2312" w:hAnsi="仿宋" w:eastAsia="仿宋_GB2312"/>
          <w:sz w:val="30"/>
          <w:szCs w:val="30"/>
          <w:highlight w:val="none"/>
        </w:rPr>
        <w:t>标</w:t>
      </w:r>
      <w:r>
        <w:rPr>
          <w:rFonts w:hint="eastAsia" w:ascii="仿宋_GB2312" w:hAnsi="仿宋" w:eastAsia="仿宋_GB2312"/>
          <w:sz w:val="30"/>
          <w:szCs w:val="30"/>
          <w:highlight w:val="none"/>
          <w:lang w:val="en-US" w:eastAsia="zh-CN"/>
        </w:rPr>
        <w:t xml:space="preserve"> </w:t>
      </w:r>
      <w:r>
        <w:rPr>
          <w:rFonts w:hint="eastAsia" w:ascii="仿宋_GB2312" w:hAnsi="仿宋" w:eastAsia="仿宋_GB2312"/>
          <w:sz w:val="30"/>
          <w:szCs w:val="30"/>
          <w:highlight w:val="none"/>
        </w:rPr>
        <w:t>人：中国重汽集团济南动力有限公司</w:t>
      </w:r>
      <w:r>
        <w:rPr>
          <w:rFonts w:hint="eastAsia" w:ascii="仿宋_GB2312" w:hAnsi="仿宋" w:eastAsia="仿宋_GB2312"/>
          <w:sz w:val="30"/>
          <w:szCs w:val="30"/>
          <w:highlight w:val="none"/>
          <w:lang w:eastAsia="zh-CN"/>
        </w:rPr>
        <w:t>。</w:t>
      </w:r>
    </w:p>
    <w:p w14:paraId="18EB799B">
      <w:pPr>
        <w:pageBreakBefore w:val="0"/>
        <w:kinsoku/>
        <w:wordWrap/>
        <w:overflowPunct/>
        <w:topLinePunct w:val="0"/>
        <w:bidi w:val="0"/>
        <w:spacing w:line="520" w:lineRule="exact"/>
        <w:ind w:firstLine="600" w:firstLineChars="200"/>
        <w:jc w:val="left"/>
        <w:textAlignment w:val="auto"/>
        <w:rPr>
          <w:rFonts w:hint="default" w:ascii="仿宋_GB2312" w:hAnsi="仿宋" w:eastAsia="仿宋_GB2312"/>
          <w:sz w:val="30"/>
          <w:szCs w:val="30"/>
          <w:highlight w:val="none"/>
          <w:lang w:val="en-US"/>
        </w:rPr>
      </w:pPr>
      <w:r>
        <w:rPr>
          <w:rFonts w:hint="eastAsia" w:ascii="仿宋_GB2312" w:hAnsi="仿宋" w:eastAsia="仿宋_GB2312"/>
          <w:sz w:val="30"/>
          <w:szCs w:val="30"/>
          <w:highlight w:val="none"/>
          <w:lang w:val="en-US" w:eastAsia="zh-CN"/>
        </w:rPr>
        <w:t>3</w:t>
      </w:r>
      <w:r>
        <w:rPr>
          <w:rFonts w:hint="eastAsia" w:ascii="仿宋_GB2312" w:hAnsi="仿宋" w:eastAsia="仿宋_GB2312"/>
          <w:sz w:val="30"/>
          <w:szCs w:val="30"/>
          <w:highlight w:val="none"/>
        </w:rPr>
        <w:t>.项目名称：</w:t>
      </w:r>
      <w:r>
        <w:rPr>
          <w:rFonts w:hint="eastAsia" w:ascii="仿宋_GB2312" w:hAnsi="仿宋" w:eastAsia="仿宋_GB2312"/>
          <w:sz w:val="30"/>
          <w:szCs w:val="30"/>
          <w:highlight w:val="none"/>
          <w:lang w:eastAsia="zh-CN"/>
        </w:rPr>
        <w:t>中国重汽新晋科级领导干部培训场地。</w:t>
      </w:r>
    </w:p>
    <w:p w14:paraId="4FFDF477">
      <w:pPr>
        <w:pageBreakBefore w:val="0"/>
        <w:kinsoku/>
        <w:wordWrap/>
        <w:overflowPunct/>
        <w:topLinePunct w:val="0"/>
        <w:bidi w:val="0"/>
        <w:spacing w:line="520" w:lineRule="exact"/>
        <w:ind w:firstLine="600" w:firstLineChars="200"/>
        <w:jc w:val="left"/>
        <w:textAlignment w:val="auto"/>
        <w:rPr>
          <w:rFonts w:hint="eastAsia" w:ascii="仿宋_GB2312" w:hAnsi="仿宋" w:eastAsia="仿宋_GB2312"/>
          <w:sz w:val="30"/>
          <w:szCs w:val="30"/>
          <w:highlight w:val="none"/>
          <w:lang w:val="en-US" w:eastAsia="zh-CN"/>
        </w:rPr>
      </w:pPr>
      <w:r>
        <w:rPr>
          <w:rFonts w:hint="eastAsia" w:ascii="仿宋_GB2312" w:hAnsi="仿宋" w:eastAsia="仿宋_GB2312"/>
          <w:sz w:val="30"/>
          <w:szCs w:val="30"/>
          <w:highlight w:val="none"/>
          <w:lang w:val="en-US" w:eastAsia="zh-CN"/>
        </w:rPr>
        <w:t>4.招标内容：</w:t>
      </w:r>
      <w:r>
        <w:rPr>
          <w:rFonts w:hint="eastAsia" w:ascii="仿宋_GB2312" w:hAnsi="仿宋" w:eastAsia="仿宋_GB2312" w:cs="Times New Roman"/>
          <w:kern w:val="2"/>
          <w:sz w:val="30"/>
          <w:szCs w:val="30"/>
          <w:highlight w:val="none"/>
          <w:lang w:val="en-US" w:eastAsia="zh-CN" w:bidi="ar-SA"/>
        </w:rPr>
        <w:t>培训场地、住宿、餐饮及物料。</w:t>
      </w:r>
    </w:p>
    <w:p w14:paraId="7AF0BDFE">
      <w:pPr>
        <w:pStyle w:val="10"/>
        <w:pageBreakBefore w:val="0"/>
        <w:kinsoku/>
        <w:wordWrap/>
        <w:overflowPunct/>
        <w:topLinePunct w:val="0"/>
        <w:bidi w:val="0"/>
        <w:spacing w:line="520" w:lineRule="exact"/>
        <w:ind w:firstLine="600" w:firstLineChars="200"/>
        <w:textAlignment w:val="auto"/>
        <w:rPr>
          <w:rFonts w:hint="eastAsia" w:ascii="仿宋_GB2312" w:hAnsi="仿宋" w:eastAsia="仿宋_GB2312"/>
          <w:sz w:val="30"/>
          <w:szCs w:val="30"/>
          <w:highlight w:val="none"/>
          <w:lang w:val="en-US" w:eastAsia="zh-CN"/>
        </w:rPr>
      </w:pPr>
      <w:r>
        <w:rPr>
          <w:rFonts w:hint="eastAsia" w:ascii="仿宋_GB2312" w:hAnsi="仿宋" w:eastAsia="仿宋_GB2312"/>
          <w:sz w:val="30"/>
          <w:szCs w:val="30"/>
          <w:highlight w:val="none"/>
          <w:lang w:val="en-US" w:eastAsia="zh-CN"/>
        </w:rPr>
        <w:t>5</w:t>
      </w:r>
      <w:r>
        <w:rPr>
          <w:rFonts w:hint="eastAsia" w:ascii="仿宋_GB2312" w:hAnsi="仿宋" w:eastAsia="仿宋_GB2312"/>
          <w:sz w:val="30"/>
          <w:szCs w:val="30"/>
          <w:highlight w:val="none"/>
        </w:rPr>
        <w:t>.项目周期：</w:t>
      </w:r>
      <w:r>
        <w:rPr>
          <w:rFonts w:hint="eastAsia" w:ascii="仿宋_GB2312" w:hAnsi="仿宋" w:eastAsia="仿宋_GB2312"/>
          <w:sz w:val="30"/>
          <w:szCs w:val="30"/>
          <w:highlight w:val="none"/>
          <w:lang w:val="en-US" w:eastAsia="zh-CN"/>
        </w:rPr>
        <w:t>考虑招标人工作实际，项目周期暂定</w:t>
      </w:r>
      <w:r>
        <w:rPr>
          <w:rFonts w:hint="eastAsia" w:ascii="仿宋_GB2312" w:hAnsi="仿宋" w:eastAsia="仿宋_GB2312"/>
          <w:sz w:val="30"/>
          <w:szCs w:val="30"/>
          <w:highlight w:val="none"/>
        </w:rPr>
        <w:t>202</w:t>
      </w:r>
      <w:r>
        <w:rPr>
          <w:rFonts w:hint="eastAsia" w:ascii="仿宋_GB2312" w:hAnsi="仿宋" w:eastAsia="仿宋_GB2312"/>
          <w:sz w:val="30"/>
          <w:szCs w:val="30"/>
          <w:highlight w:val="none"/>
          <w:lang w:val="en-US" w:eastAsia="zh-CN"/>
        </w:rPr>
        <w:t>5</w:t>
      </w:r>
      <w:r>
        <w:rPr>
          <w:rFonts w:hint="eastAsia" w:ascii="仿宋_GB2312" w:hAnsi="仿宋" w:eastAsia="仿宋_GB2312"/>
          <w:sz w:val="30"/>
          <w:szCs w:val="30"/>
          <w:highlight w:val="none"/>
        </w:rPr>
        <w:t>年</w:t>
      </w:r>
      <w:r>
        <w:rPr>
          <w:rFonts w:hint="eastAsia" w:ascii="仿宋_GB2312" w:hAnsi="仿宋" w:eastAsia="仿宋_GB2312"/>
          <w:sz w:val="30"/>
          <w:szCs w:val="30"/>
          <w:highlight w:val="none"/>
          <w:lang w:val="en-US" w:eastAsia="zh-CN"/>
        </w:rPr>
        <w:t>10-12月份</w:t>
      </w:r>
      <w:r>
        <w:rPr>
          <w:rFonts w:hint="eastAsia" w:ascii="仿宋_GB2312" w:hAnsi="仿宋" w:eastAsia="仿宋_GB2312"/>
          <w:sz w:val="30"/>
          <w:szCs w:val="30"/>
          <w:highlight w:val="none"/>
        </w:rPr>
        <w:t>，最终时间以中标后合同约定的时间为准</w:t>
      </w:r>
    </w:p>
    <w:p w14:paraId="34919132">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sz w:val="30"/>
          <w:szCs w:val="30"/>
          <w:highlight w:val="none"/>
          <w:lang w:val="en-US" w:eastAsia="zh-CN"/>
        </w:rPr>
        <w:t>6</w:t>
      </w:r>
      <w:r>
        <w:rPr>
          <w:rFonts w:hint="eastAsia" w:ascii="仿宋_GB2312" w:hAnsi="仿宋" w:eastAsia="仿宋_GB2312" w:cs="Times New Roman"/>
          <w:sz w:val="30"/>
          <w:szCs w:val="30"/>
          <w:highlight w:val="none"/>
        </w:rPr>
        <w:t>.报价方</w:t>
      </w:r>
      <w:r>
        <w:rPr>
          <w:rFonts w:hint="eastAsia" w:ascii="仿宋_GB2312" w:hAnsi="仿宋" w:eastAsia="仿宋_GB2312" w:cs="Times New Roman"/>
          <w:sz w:val="30"/>
          <w:szCs w:val="30"/>
          <w:highlight w:val="none"/>
          <w:lang w:val="en-US" w:eastAsia="zh-CN"/>
        </w:rPr>
        <w:t>式：采用整包整中的方式进行报价，报价需在重</w:t>
      </w:r>
      <w:r>
        <w:rPr>
          <w:rFonts w:hint="eastAsia" w:ascii="仿宋_GB2312" w:hAnsi="仿宋" w:eastAsia="仿宋_GB2312" w:cs="Times New Roman"/>
          <w:sz w:val="30"/>
          <w:szCs w:val="30"/>
          <w:highlight w:val="none"/>
        </w:rPr>
        <w:t>汽e采通</w:t>
      </w:r>
      <w:r>
        <w:rPr>
          <w:rFonts w:hint="eastAsia" w:ascii="仿宋_GB2312" w:hAnsi="仿宋" w:eastAsia="仿宋_GB2312" w:cs="Times New Roman"/>
          <w:sz w:val="30"/>
          <w:szCs w:val="30"/>
          <w:highlight w:val="none"/>
          <w:lang w:val="en-US" w:eastAsia="zh-CN"/>
        </w:rPr>
        <w:t>完成</w:t>
      </w:r>
      <w:r>
        <w:rPr>
          <w:rFonts w:hint="eastAsia" w:ascii="仿宋_GB2312" w:hAnsi="仿宋" w:eastAsia="仿宋_GB2312" w:cs="Times New Roman"/>
          <w:sz w:val="30"/>
          <w:szCs w:val="30"/>
          <w:highlight w:val="none"/>
        </w:rPr>
        <w:t>。</w:t>
      </w:r>
    </w:p>
    <w:p w14:paraId="1CB4FCE6">
      <w:pPr>
        <w:keepNext w:val="0"/>
        <w:keepLines w:val="0"/>
        <w:pageBreakBefore w:val="0"/>
        <w:kinsoku/>
        <w:wordWrap/>
        <w:overflowPunct/>
        <w:topLinePunct w:val="0"/>
        <w:autoSpaceDE/>
        <w:autoSpaceDN/>
        <w:bidi w:val="0"/>
        <w:adjustRightInd/>
        <w:snapToGrid/>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7</w:t>
      </w:r>
      <w:r>
        <w:rPr>
          <w:rFonts w:hint="eastAsia" w:ascii="仿宋_GB2312" w:hAnsi="仿宋" w:eastAsia="仿宋_GB2312"/>
          <w:sz w:val="30"/>
          <w:szCs w:val="30"/>
          <w:highlight w:val="none"/>
        </w:rPr>
        <w:t>.方案递交</w:t>
      </w:r>
      <w:r>
        <w:rPr>
          <w:rFonts w:hint="eastAsia" w:ascii="仿宋_GB2312" w:hAnsi="仿宋" w:eastAsia="仿宋_GB2312"/>
          <w:color w:val="000000"/>
          <w:sz w:val="30"/>
          <w:szCs w:val="30"/>
          <w:highlight w:val="none"/>
        </w:rPr>
        <w:t>：现场提交方案</w:t>
      </w:r>
      <w:r>
        <w:rPr>
          <w:rFonts w:hint="eastAsia" w:ascii="仿宋_GB2312" w:hAnsi="仿宋" w:eastAsia="仿宋_GB2312"/>
          <w:sz w:val="30"/>
          <w:szCs w:val="30"/>
          <w:highlight w:val="none"/>
        </w:rPr>
        <w:t>。</w:t>
      </w:r>
    </w:p>
    <w:p w14:paraId="01049113">
      <w:pPr>
        <w:keepNext w:val="0"/>
        <w:keepLines w:val="0"/>
        <w:pageBreakBefore w:val="0"/>
        <w:kinsoku/>
        <w:wordWrap/>
        <w:overflowPunct/>
        <w:topLinePunct w:val="0"/>
        <w:autoSpaceDE/>
        <w:autoSpaceDN/>
        <w:bidi w:val="0"/>
        <w:adjustRightInd/>
        <w:snapToGrid/>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8</w:t>
      </w:r>
      <w:r>
        <w:rPr>
          <w:rFonts w:hint="eastAsia" w:ascii="仿宋_GB2312" w:hAnsi="仿宋" w:eastAsia="仿宋_GB2312"/>
          <w:sz w:val="30"/>
          <w:szCs w:val="30"/>
          <w:highlight w:val="none"/>
        </w:rPr>
        <w:t>.招标形式：</w:t>
      </w:r>
      <w:r>
        <w:rPr>
          <w:rFonts w:hint="eastAsia" w:ascii="仿宋_GB2312" w:hAnsi="仿宋" w:eastAsia="仿宋_GB2312"/>
          <w:sz w:val="30"/>
          <w:szCs w:val="30"/>
          <w:highlight w:val="none"/>
          <w:lang w:val="en-US" w:eastAsia="zh-CN"/>
        </w:rPr>
        <w:t>公开</w:t>
      </w:r>
      <w:r>
        <w:rPr>
          <w:rFonts w:hint="eastAsia" w:ascii="仿宋_GB2312" w:hAnsi="仿宋" w:eastAsia="仿宋_GB2312"/>
          <w:sz w:val="30"/>
          <w:szCs w:val="30"/>
          <w:highlight w:val="none"/>
        </w:rPr>
        <w:t>招标。</w:t>
      </w:r>
    </w:p>
    <w:p w14:paraId="38F10470">
      <w:pPr>
        <w:keepNext w:val="0"/>
        <w:keepLines w:val="0"/>
        <w:pageBreakBefore w:val="0"/>
        <w:kinsoku/>
        <w:wordWrap/>
        <w:overflowPunct/>
        <w:topLinePunct w:val="0"/>
        <w:autoSpaceDE/>
        <w:autoSpaceDN/>
        <w:bidi w:val="0"/>
        <w:adjustRightInd/>
        <w:snapToGrid/>
        <w:spacing w:line="520" w:lineRule="exact"/>
        <w:ind w:firstLine="600" w:firstLineChars="200"/>
        <w:jc w:val="left"/>
        <w:textAlignment w:val="auto"/>
        <w:rPr>
          <w:rFonts w:hint="eastAsia" w:ascii="仿宋_GB2312" w:hAnsi="仿宋" w:eastAsia="仿宋_GB2312"/>
          <w:sz w:val="30"/>
          <w:szCs w:val="30"/>
          <w:highlight w:val="none"/>
        </w:rPr>
      </w:pPr>
      <w:r>
        <w:rPr>
          <w:rFonts w:hint="eastAsia" w:ascii="仿宋_GB2312" w:hAnsi="仿宋" w:eastAsia="仿宋_GB2312"/>
          <w:sz w:val="30"/>
          <w:szCs w:val="30"/>
          <w:highlight w:val="none"/>
          <w:lang w:val="en-US" w:eastAsia="zh-CN"/>
        </w:rPr>
        <w:t>9</w:t>
      </w:r>
      <w:r>
        <w:rPr>
          <w:rFonts w:hint="eastAsia" w:ascii="仿宋_GB2312" w:hAnsi="仿宋" w:eastAsia="仿宋_GB2312"/>
          <w:sz w:val="30"/>
          <w:szCs w:val="30"/>
          <w:highlight w:val="none"/>
        </w:rPr>
        <w:t>.开标：</w:t>
      </w:r>
    </w:p>
    <w:p w14:paraId="03F76DF3">
      <w:pPr>
        <w:pStyle w:val="2"/>
        <w:keepNext w:val="0"/>
        <w:keepLines w:val="0"/>
        <w:pageBreakBefore w:val="0"/>
        <w:kinsoku/>
        <w:wordWrap/>
        <w:overflowPunct/>
        <w:topLinePunct w:val="0"/>
        <w:autoSpaceDE/>
        <w:autoSpaceDN/>
        <w:bidi w:val="0"/>
        <w:adjustRightInd/>
        <w:snapToGrid/>
        <w:spacing w:after="0" w:line="520" w:lineRule="exact"/>
        <w:ind w:left="0" w:leftChars="0" w:firstLine="600" w:firstLineChars="200"/>
        <w:textAlignment w:val="auto"/>
        <w:rPr>
          <w:rFonts w:hint="eastAsia" w:ascii="仿宋_GB2312" w:hAnsi="仿宋" w:eastAsia="仿宋_GB2312"/>
          <w:sz w:val="30"/>
          <w:szCs w:val="30"/>
          <w:highlight w:val="none"/>
          <w:lang w:val="en-US" w:eastAsia="zh-CN"/>
        </w:rPr>
      </w:pPr>
      <w:r>
        <w:rPr>
          <w:rFonts w:hint="eastAsia" w:ascii="仿宋_GB2312" w:hAnsi="仿宋" w:eastAsia="仿宋_GB2312"/>
          <w:sz w:val="30"/>
          <w:szCs w:val="30"/>
          <w:highlight w:val="none"/>
          <w:lang w:val="en-US" w:eastAsia="zh-CN"/>
        </w:rPr>
        <w:t>时间：</w:t>
      </w:r>
      <w:r>
        <w:rPr>
          <w:rFonts w:hint="eastAsia" w:ascii="仿宋_GB2312" w:hAnsi="仿宋" w:eastAsia="仿宋_GB2312"/>
          <w:sz w:val="30"/>
          <w:szCs w:val="30"/>
          <w:highlight w:val="none"/>
        </w:rPr>
        <w:t>202</w:t>
      </w:r>
      <w:r>
        <w:rPr>
          <w:rFonts w:hint="eastAsia" w:ascii="仿宋_GB2312" w:hAnsi="仿宋" w:eastAsia="仿宋_GB2312"/>
          <w:sz w:val="30"/>
          <w:szCs w:val="30"/>
          <w:highlight w:val="none"/>
          <w:lang w:val="en-US" w:eastAsia="zh-CN"/>
        </w:rPr>
        <w:t>5</w:t>
      </w:r>
      <w:r>
        <w:rPr>
          <w:rFonts w:hint="eastAsia" w:ascii="仿宋_GB2312" w:hAnsi="仿宋" w:eastAsia="仿宋_GB2312"/>
          <w:sz w:val="30"/>
          <w:szCs w:val="30"/>
          <w:highlight w:val="none"/>
        </w:rPr>
        <w:t>年</w:t>
      </w:r>
      <w:r>
        <w:rPr>
          <w:rFonts w:hint="eastAsia" w:ascii="仿宋_GB2312" w:hAnsi="仿宋" w:eastAsia="仿宋_GB2312"/>
          <w:sz w:val="30"/>
          <w:szCs w:val="30"/>
          <w:highlight w:val="none"/>
          <w:lang w:val="en-US" w:eastAsia="zh-CN"/>
        </w:rPr>
        <w:t>10</w:t>
      </w:r>
      <w:r>
        <w:rPr>
          <w:rFonts w:hint="eastAsia" w:ascii="仿宋_GB2312" w:hAnsi="仿宋" w:eastAsia="仿宋_GB2312"/>
          <w:sz w:val="30"/>
          <w:szCs w:val="30"/>
          <w:highlight w:val="none"/>
        </w:rPr>
        <w:t>月</w:t>
      </w:r>
      <w:r>
        <w:rPr>
          <w:rFonts w:hint="eastAsia" w:ascii="仿宋_GB2312" w:hAnsi="仿宋" w:eastAsia="仿宋_GB2312"/>
          <w:sz w:val="30"/>
          <w:szCs w:val="30"/>
          <w:highlight w:val="none"/>
          <w:lang w:val="en-US" w:eastAsia="zh-CN"/>
        </w:rPr>
        <w:t>30</w:t>
      </w:r>
      <w:r>
        <w:rPr>
          <w:rFonts w:hint="eastAsia" w:ascii="仿宋_GB2312" w:hAnsi="仿宋" w:eastAsia="仿宋_GB2312"/>
          <w:sz w:val="30"/>
          <w:szCs w:val="30"/>
          <w:highlight w:val="none"/>
        </w:rPr>
        <w:t>日。</w:t>
      </w:r>
    </w:p>
    <w:p w14:paraId="1C8C5510">
      <w:pPr>
        <w:pStyle w:val="2"/>
        <w:keepNext w:val="0"/>
        <w:keepLines w:val="0"/>
        <w:pageBreakBefore w:val="0"/>
        <w:kinsoku/>
        <w:wordWrap/>
        <w:overflowPunct/>
        <w:topLinePunct w:val="0"/>
        <w:autoSpaceDE/>
        <w:autoSpaceDN/>
        <w:bidi w:val="0"/>
        <w:adjustRightInd/>
        <w:snapToGrid/>
        <w:spacing w:after="0" w:line="520" w:lineRule="exact"/>
        <w:ind w:left="0" w:leftChars="0" w:firstLine="600" w:firstLineChars="200"/>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地点：</w:t>
      </w:r>
      <w:bookmarkStart w:id="1" w:name="OLE_LINK2"/>
      <w:bookmarkStart w:id="2" w:name="OLE_LINK3"/>
      <w:r>
        <w:rPr>
          <w:rFonts w:hint="eastAsia" w:ascii="仿宋_GB2312" w:hAnsi="仿宋" w:eastAsia="仿宋_GB2312"/>
          <w:sz w:val="30"/>
          <w:szCs w:val="30"/>
          <w:highlight w:val="none"/>
        </w:rPr>
        <w:t>中国重汽科技大厦会议室（具体地点另行通知）</w:t>
      </w:r>
      <w:bookmarkEnd w:id="1"/>
      <w:bookmarkEnd w:id="2"/>
      <w:r>
        <w:rPr>
          <w:rFonts w:hint="eastAsia" w:ascii="仿宋_GB2312" w:hAnsi="仿宋" w:eastAsia="仿宋_GB2312"/>
          <w:sz w:val="30"/>
          <w:szCs w:val="30"/>
          <w:highlight w:val="none"/>
        </w:rPr>
        <w:t>。</w:t>
      </w:r>
    </w:p>
    <w:p w14:paraId="798FBF71">
      <w:pPr>
        <w:keepNext w:val="0"/>
        <w:keepLines w:val="0"/>
        <w:pageBreakBefore w:val="0"/>
        <w:kinsoku/>
        <w:wordWrap/>
        <w:overflowPunct/>
        <w:topLinePunct w:val="0"/>
        <w:autoSpaceDE/>
        <w:autoSpaceDN/>
        <w:bidi w:val="0"/>
        <w:adjustRightInd/>
        <w:snapToGrid/>
        <w:spacing w:line="520" w:lineRule="exact"/>
        <w:ind w:firstLine="600" w:firstLineChars="200"/>
        <w:jc w:val="left"/>
        <w:textAlignment w:val="auto"/>
        <w:rPr>
          <w:rFonts w:hint="eastAsia" w:ascii="仿宋_GB2312" w:hAnsi="仿宋" w:eastAsia="仿宋_GB2312"/>
          <w:sz w:val="30"/>
          <w:szCs w:val="30"/>
          <w:highlight w:val="none"/>
        </w:rPr>
      </w:pPr>
      <w:r>
        <w:rPr>
          <w:rFonts w:hint="eastAsia" w:ascii="仿宋_GB2312" w:hAnsi="仿宋" w:eastAsia="仿宋_GB2312"/>
          <w:sz w:val="30"/>
          <w:szCs w:val="30"/>
          <w:highlight w:val="none"/>
          <w:lang w:val="en-US" w:eastAsia="zh-CN"/>
        </w:rPr>
        <w:t>10</w:t>
      </w:r>
      <w:r>
        <w:rPr>
          <w:rFonts w:hint="eastAsia" w:ascii="仿宋_GB2312" w:hAnsi="仿宋" w:eastAsia="仿宋_GB2312"/>
          <w:sz w:val="30"/>
          <w:szCs w:val="30"/>
          <w:highlight w:val="none"/>
        </w:rPr>
        <w:t>.联系人：</w:t>
      </w:r>
    </w:p>
    <w:p w14:paraId="33DEBB14">
      <w:pPr>
        <w:pageBreakBefore w:val="0"/>
        <w:kinsoku/>
        <w:wordWrap/>
        <w:overflowPunct/>
        <w:topLinePunct w:val="0"/>
        <w:bidi w:val="0"/>
        <w:spacing w:line="520" w:lineRule="exact"/>
        <w:ind w:firstLine="600" w:firstLineChars="200"/>
        <w:jc w:val="left"/>
        <w:textAlignment w:val="auto"/>
        <w:rPr>
          <w:rStyle w:val="24"/>
          <w:rFonts w:hint="eastAsia" w:ascii="仿宋_GB2312" w:hAnsi="仿宋" w:eastAsia="仿宋_GB2312"/>
          <w:sz w:val="30"/>
          <w:szCs w:val="30"/>
          <w:highlight w:val="none"/>
        </w:rPr>
      </w:pPr>
      <w:r>
        <w:rPr>
          <w:rFonts w:hint="eastAsia" w:ascii="仿宋_GB2312" w:hAnsi="仿宋" w:eastAsia="仿宋_GB2312"/>
          <w:sz w:val="30"/>
          <w:szCs w:val="30"/>
          <w:highlight w:val="none"/>
          <w:lang w:val="en-US" w:eastAsia="zh-CN"/>
        </w:rPr>
        <w:t>李祥光</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lang w:val="en-US" w:eastAsia="zh-CN"/>
        </w:rPr>
        <w:t>19861850857</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rPr>
        <w:t>邮箱：</w:t>
      </w:r>
      <w:r>
        <w:rPr>
          <w:sz w:val="30"/>
          <w:szCs w:val="30"/>
          <w:highlight w:val="none"/>
        </w:rPr>
        <w:fldChar w:fldCharType="begin"/>
      </w:r>
      <w:r>
        <w:rPr>
          <w:sz w:val="30"/>
          <w:szCs w:val="30"/>
          <w:highlight w:val="none"/>
        </w:rPr>
        <w:instrText xml:space="preserve"> HYPERLINK "mailto:zhongchonglai@sinotruk.com" </w:instrText>
      </w:r>
      <w:r>
        <w:rPr>
          <w:sz w:val="30"/>
          <w:szCs w:val="30"/>
          <w:highlight w:val="none"/>
        </w:rPr>
        <w:fldChar w:fldCharType="separate"/>
      </w:r>
      <w:r>
        <w:rPr>
          <w:rStyle w:val="24"/>
          <w:rFonts w:hint="eastAsia" w:ascii="仿宋_GB2312" w:hAnsi="仿宋" w:eastAsia="仿宋_GB2312"/>
          <w:sz w:val="30"/>
          <w:szCs w:val="30"/>
          <w:highlight w:val="none"/>
          <w:lang w:val="en-US" w:eastAsia="zh-CN"/>
        </w:rPr>
        <w:t>lixiangguang</w:t>
      </w:r>
      <w:r>
        <w:rPr>
          <w:rStyle w:val="24"/>
          <w:rFonts w:hint="eastAsia" w:ascii="仿宋_GB2312" w:hAnsi="仿宋" w:eastAsia="仿宋_GB2312"/>
          <w:sz w:val="30"/>
          <w:szCs w:val="30"/>
          <w:highlight w:val="none"/>
        </w:rPr>
        <w:t>@sinotruk.com</w:t>
      </w:r>
      <w:r>
        <w:rPr>
          <w:rStyle w:val="24"/>
          <w:rFonts w:hint="eastAsia" w:ascii="仿宋_GB2312" w:hAnsi="仿宋" w:eastAsia="仿宋_GB2312"/>
          <w:sz w:val="30"/>
          <w:szCs w:val="30"/>
          <w:highlight w:val="none"/>
        </w:rPr>
        <w:fldChar w:fldCharType="end"/>
      </w:r>
    </w:p>
    <w:p w14:paraId="344777EC">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11</w:t>
      </w:r>
      <w:r>
        <w:rPr>
          <w:rFonts w:hint="eastAsia" w:ascii="仿宋_GB2312" w:hAnsi="仿宋" w:eastAsia="仿宋_GB2312"/>
          <w:sz w:val="30"/>
          <w:szCs w:val="30"/>
          <w:highlight w:val="none"/>
        </w:rPr>
        <w:t>.答疑方式：线上或现场答疑。</w:t>
      </w:r>
    </w:p>
    <w:p w14:paraId="323DE8AC">
      <w:pPr>
        <w:pageBreakBefore w:val="0"/>
        <w:kinsoku/>
        <w:wordWrap/>
        <w:overflowPunct/>
        <w:topLinePunct w:val="0"/>
        <w:bidi w:val="0"/>
        <w:spacing w:line="520" w:lineRule="exact"/>
        <w:ind w:firstLine="602" w:firstLineChars="200"/>
        <w:jc w:val="left"/>
        <w:textAlignment w:val="auto"/>
        <w:outlineLvl w:val="0"/>
        <w:rPr>
          <w:rFonts w:ascii="黑体" w:hAnsi="黑体" w:eastAsia="黑体" w:cs="黑体"/>
          <w:b/>
          <w:bCs/>
          <w:sz w:val="30"/>
          <w:szCs w:val="30"/>
          <w:highlight w:val="none"/>
        </w:rPr>
      </w:pPr>
      <w:bookmarkStart w:id="3" w:name="_Toc26596"/>
      <w:r>
        <w:rPr>
          <w:rFonts w:hint="eastAsia" w:ascii="黑体" w:hAnsi="黑体" w:eastAsia="黑体" w:cs="黑体"/>
          <w:b/>
          <w:bCs/>
          <w:sz w:val="30"/>
          <w:szCs w:val="30"/>
          <w:highlight w:val="none"/>
        </w:rPr>
        <w:t>二、投标人资格条件及要求</w:t>
      </w:r>
      <w:bookmarkEnd w:id="3"/>
    </w:p>
    <w:p w14:paraId="3C2C6BFB">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1.所有拟投标人需满足以下条件：</w:t>
      </w:r>
    </w:p>
    <w:p w14:paraId="253A4CDC">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（1）投标人是企业法人的，必须是在中华人民共和国境内注册的独立法人机构，具有独立承担民事责任能力，</w:t>
      </w:r>
      <w:r>
        <w:rPr>
          <w:rFonts w:hint="eastAsia" w:ascii="黑体" w:hAnsi="黑体" w:eastAsia="黑体" w:cs="黑体"/>
          <w:b/>
          <w:bCs/>
          <w:sz w:val="30"/>
          <w:szCs w:val="30"/>
          <w:highlight w:val="none"/>
        </w:rPr>
        <w:t>原则上投标人注册资金不得低于项目标的额或不低于</w:t>
      </w:r>
      <w:r>
        <w:rPr>
          <w:rFonts w:hint="eastAsia" w:ascii="黑体" w:hAnsi="黑体" w:eastAsia="黑体" w:cs="黑体"/>
          <w:b/>
          <w:bCs/>
          <w:sz w:val="30"/>
          <w:szCs w:val="30"/>
          <w:highlight w:val="none"/>
          <w:lang w:val="en-US" w:eastAsia="zh-CN"/>
        </w:rPr>
        <w:t>5</w:t>
      </w:r>
      <w:r>
        <w:rPr>
          <w:rFonts w:hint="eastAsia" w:ascii="黑体" w:hAnsi="黑体" w:eastAsia="黑体" w:cs="黑体"/>
          <w:b/>
          <w:bCs/>
          <w:sz w:val="30"/>
          <w:szCs w:val="30"/>
          <w:highlight w:val="none"/>
        </w:rPr>
        <w:t>00万元；公司成立三年以上（以营业执照成立日期到开标当日满三年为准）</w:t>
      </w:r>
      <w:r>
        <w:rPr>
          <w:rFonts w:hint="eastAsia" w:ascii="仿宋_GB2312" w:hAnsi="仿宋" w:eastAsia="仿宋_GB2312" w:cs="Times New Roman"/>
          <w:sz w:val="30"/>
          <w:szCs w:val="30"/>
          <w:highlight w:val="none"/>
        </w:rPr>
        <w:t>；且经营范围满足招标人需求；并在人员、设备、资金等方面具有承担本项目的能力；投标人是事业单位和社会团体及其分支机构，且经营范围满足招标方需求并在人员、设备、资金等方面具有承担本项目的能力的，可不受注册资金和成立时间限制；</w:t>
      </w:r>
    </w:p>
    <w:p w14:paraId="42FE2B01">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（2）投标人应遵守《中华人民共和国招投标法》及有关的法律和法规。具备独立法人资格，具有独立承担民事责任能力、良好的财务状况并具有一定的垫资能力，能切实履行合同。</w:t>
      </w:r>
    </w:p>
    <w:p w14:paraId="1904CEF4">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（3）投标人在国家企业信用信息公示系统中有不良记录、近三年的公司财务报表异常、存在与本项目有关的违法及严重违规或被列入招标人“黑名单”的，招标人有权取消其投标资格。</w:t>
      </w:r>
    </w:p>
    <w:p w14:paraId="0767ED5A">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4）投标人应有策划执行大型项目的经验，具有良好的风险应对能力，能够认可招标人的工作指令，包括节假日能正常开展工作等要求，并在开标时携带以往项目策划执行资料、企业资信材料、财务报表及完税证明等备查；</w:t>
      </w:r>
    </w:p>
    <w:p w14:paraId="2C69D8C7">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（5）资格审查方式：</w:t>
      </w:r>
      <w:r>
        <w:rPr>
          <w:rFonts w:hint="eastAsia" w:ascii="仿宋_GB2312" w:hAnsi="仿宋" w:eastAsia="仿宋_GB2312" w:cs="Times New Roman"/>
          <w:sz w:val="30"/>
          <w:szCs w:val="30"/>
          <w:highlight w:val="none"/>
          <w:lang w:val="en-US" w:eastAsia="zh-CN"/>
        </w:rPr>
        <w:t>采用</w:t>
      </w:r>
      <w:r>
        <w:rPr>
          <w:rFonts w:hint="eastAsia" w:ascii="仿宋_GB2312" w:hAnsi="仿宋" w:eastAsia="仿宋_GB2312" w:cs="Times New Roman"/>
          <w:sz w:val="30"/>
          <w:szCs w:val="30"/>
          <w:highlight w:val="none"/>
        </w:rPr>
        <w:t>资格</w:t>
      </w:r>
      <w:r>
        <w:rPr>
          <w:rFonts w:hint="eastAsia" w:ascii="仿宋_GB2312" w:hAnsi="仿宋" w:eastAsia="仿宋_GB2312" w:cs="Times New Roman"/>
          <w:sz w:val="30"/>
          <w:szCs w:val="30"/>
          <w:highlight w:val="none"/>
          <w:lang w:val="en-US" w:eastAsia="zh-CN"/>
        </w:rPr>
        <w:t>预</w:t>
      </w:r>
      <w:r>
        <w:rPr>
          <w:rFonts w:hint="eastAsia" w:ascii="仿宋_GB2312" w:hAnsi="仿宋" w:eastAsia="仿宋_GB2312" w:cs="Times New Roman"/>
          <w:sz w:val="30"/>
          <w:szCs w:val="30"/>
          <w:highlight w:val="none"/>
        </w:rPr>
        <w:t>审</w:t>
      </w:r>
      <w:r>
        <w:rPr>
          <w:rFonts w:hint="eastAsia" w:ascii="仿宋_GB2312" w:hAnsi="仿宋" w:eastAsia="仿宋_GB2312" w:cs="Times New Roman"/>
          <w:sz w:val="30"/>
          <w:szCs w:val="30"/>
          <w:highlight w:val="none"/>
          <w:lang w:eastAsia="zh-CN"/>
        </w:rPr>
        <w:t>，</w:t>
      </w:r>
      <w:r>
        <w:rPr>
          <w:rFonts w:hint="eastAsia" w:ascii="仿宋_GB2312" w:hAnsi="仿宋" w:eastAsia="仿宋_GB2312" w:cs="Times New Roman"/>
          <w:sz w:val="30"/>
          <w:szCs w:val="30"/>
          <w:highlight w:val="none"/>
        </w:rPr>
        <w:t>合格制</w:t>
      </w:r>
      <w:r>
        <w:rPr>
          <w:rFonts w:hint="eastAsia" w:ascii="仿宋_GB2312" w:hAnsi="仿宋" w:eastAsia="仿宋_GB2312" w:cs="Times New Roman"/>
          <w:sz w:val="30"/>
          <w:szCs w:val="30"/>
          <w:highlight w:val="none"/>
          <w:lang w:eastAsia="zh-CN"/>
        </w:rPr>
        <w:t>。</w:t>
      </w:r>
      <w:r>
        <w:rPr>
          <w:rFonts w:hint="eastAsia" w:ascii="仿宋_GB2312" w:hAnsi="仿宋" w:eastAsia="仿宋_GB2312" w:cs="Times New Roman"/>
          <w:sz w:val="30"/>
          <w:szCs w:val="30"/>
          <w:highlight w:val="none"/>
          <w:lang w:val="en-US" w:eastAsia="zh-CN"/>
        </w:rPr>
        <w:t>项目发标后，拟投标人须先应标，招标工作组通过重汽e采通对应标人进行资质审核，审核通过后方可投标</w:t>
      </w:r>
      <w:r>
        <w:rPr>
          <w:rFonts w:hint="eastAsia" w:ascii="仿宋_GB2312" w:hAnsi="仿宋" w:eastAsia="仿宋_GB2312" w:cs="Times New Roman"/>
          <w:sz w:val="30"/>
          <w:szCs w:val="30"/>
          <w:highlight w:val="none"/>
        </w:rPr>
        <w:t>。</w:t>
      </w:r>
    </w:p>
    <w:p w14:paraId="2E846894">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投标人须知：应明确要求投标人提供</w:t>
      </w:r>
    </w:p>
    <w:p w14:paraId="3FB7901F">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 xml:space="preserve">①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14:paraId="066F363A">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 xml:space="preserve">②企业最近半年完税证明、信用证明材料（中国人民银行信用代码证+征信报告）； </w:t>
      </w:r>
    </w:p>
    <w:p w14:paraId="5C1CD85B">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 xml:space="preserve">③年度纳税信用评价信息（可从电子税务局查询截图，需加盖公章）； </w:t>
      </w:r>
    </w:p>
    <w:p w14:paraId="65A05A6E">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④企业对外担保说明（写明贵单位对外有无对外担保和质押业务，需加盖公章）。</w:t>
      </w:r>
    </w:p>
    <w:p w14:paraId="34AA10B8">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2.投标人对课程材料拥有合法的知识产权或具有合法的来源，有关知识产权中不存在任何侵犯第三方的权益。</w:t>
      </w:r>
    </w:p>
    <w:p w14:paraId="1D3DDE78">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 xml:space="preserve">3.投标方的直接或间接股东、法定代表人、董事、监事、高管非重汽员工及其亲属。 </w:t>
      </w:r>
    </w:p>
    <w:p w14:paraId="10B327D3">
      <w:pPr>
        <w:pageBreakBefore w:val="0"/>
        <w:kinsoku/>
        <w:wordWrap/>
        <w:overflowPunct/>
        <w:topLinePunct w:val="0"/>
        <w:bidi w:val="0"/>
        <w:spacing w:line="520" w:lineRule="exact"/>
        <w:ind w:firstLine="602" w:firstLineChars="200"/>
        <w:jc w:val="left"/>
        <w:textAlignment w:val="auto"/>
        <w:outlineLvl w:val="0"/>
        <w:rPr>
          <w:rFonts w:ascii="黑体" w:hAnsi="黑体" w:eastAsia="黑体" w:cs="黑体"/>
          <w:b/>
          <w:bCs/>
          <w:sz w:val="30"/>
          <w:szCs w:val="30"/>
          <w:highlight w:val="none"/>
        </w:rPr>
      </w:pPr>
      <w:bookmarkStart w:id="4" w:name="_Toc25722"/>
      <w:r>
        <w:rPr>
          <w:rFonts w:hint="eastAsia" w:ascii="黑体" w:hAnsi="黑体" w:eastAsia="黑体" w:cs="黑体"/>
          <w:b/>
          <w:bCs/>
          <w:sz w:val="30"/>
          <w:szCs w:val="30"/>
          <w:highlight w:val="none"/>
        </w:rPr>
        <w:t>三、投标说明</w:t>
      </w:r>
      <w:bookmarkEnd w:id="4"/>
    </w:p>
    <w:p w14:paraId="4DC3705C">
      <w:pPr>
        <w:pStyle w:val="39"/>
        <w:pageBreakBefore w:val="0"/>
        <w:kinsoku/>
        <w:wordWrap/>
        <w:overflowPunct/>
        <w:topLinePunct w:val="0"/>
        <w:bidi w:val="0"/>
        <w:spacing w:line="520" w:lineRule="exact"/>
        <w:ind w:firstLine="602"/>
        <w:textAlignment w:val="auto"/>
        <w:outlineLvl w:val="1"/>
        <w:rPr>
          <w:rFonts w:ascii="楷体_GB2312" w:hAnsi="楷体_GB2312" w:eastAsia="楷体_GB2312" w:cs="楷体_GB2312"/>
          <w:sz w:val="30"/>
          <w:szCs w:val="30"/>
          <w:highlight w:val="none"/>
        </w:rPr>
      </w:pPr>
      <w:r>
        <w:rPr>
          <w:rFonts w:hint="eastAsia" w:ascii="楷体_GB2312" w:hAnsi="楷体_GB2312" w:eastAsia="楷体_GB2312" w:cs="楷体_GB2312"/>
          <w:sz w:val="30"/>
          <w:szCs w:val="30"/>
          <w:highlight w:val="none"/>
        </w:rPr>
        <w:t>1.招标文件获取</w:t>
      </w:r>
    </w:p>
    <w:p w14:paraId="6FBD272B">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黑体" w:eastAsia="仿宋_GB2312"/>
          <w:sz w:val="30"/>
          <w:szCs w:val="30"/>
          <w:highlight w:val="none"/>
        </w:rPr>
        <w:t>招标人将本项目招标文件公布至重汽e采通平台，地址如下：https://ecaitong.sinotruk.com:8012/#/login</w:t>
      </w:r>
      <w:r>
        <w:rPr>
          <w:rFonts w:hint="eastAsia" w:ascii="仿宋_GB2312" w:hAnsi="仿宋" w:eastAsia="仿宋_GB2312"/>
          <w:sz w:val="30"/>
          <w:szCs w:val="30"/>
          <w:highlight w:val="none"/>
        </w:rPr>
        <w:t>。投标人需注册后获取招标文件。具体操作详看</w:t>
      </w:r>
      <w:r>
        <w:rPr>
          <w:rFonts w:hint="eastAsia" w:ascii="仿宋_GB2312" w:hAnsi="仿宋" w:eastAsia="仿宋_GB2312"/>
          <w:sz w:val="30"/>
          <w:szCs w:val="30"/>
          <w:highlight w:val="none"/>
          <w:lang w:val="en-US" w:eastAsia="zh-CN"/>
        </w:rPr>
        <w:t>招标文件末尾后</w:t>
      </w:r>
      <w:r>
        <w:rPr>
          <w:rFonts w:hint="eastAsia" w:ascii="仿宋_GB2312" w:hAnsi="仿宋" w:eastAsia="仿宋_GB2312"/>
          <w:sz w:val="30"/>
          <w:szCs w:val="30"/>
          <w:highlight w:val="none"/>
        </w:rPr>
        <w:t>附件。</w:t>
      </w:r>
    </w:p>
    <w:p w14:paraId="0F5F002E">
      <w:pPr>
        <w:pStyle w:val="39"/>
        <w:pageBreakBefore w:val="0"/>
        <w:kinsoku/>
        <w:wordWrap/>
        <w:overflowPunct/>
        <w:topLinePunct w:val="0"/>
        <w:bidi w:val="0"/>
        <w:spacing w:line="520" w:lineRule="exact"/>
        <w:ind w:firstLine="602"/>
        <w:textAlignment w:val="auto"/>
        <w:outlineLvl w:val="1"/>
        <w:rPr>
          <w:rFonts w:ascii="楷体_GB2312" w:hAnsi="楷体_GB2312" w:eastAsia="楷体_GB2312" w:cs="楷体_GB2312"/>
          <w:sz w:val="30"/>
          <w:szCs w:val="30"/>
          <w:highlight w:val="none"/>
        </w:rPr>
      </w:pPr>
      <w:r>
        <w:rPr>
          <w:rFonts w:hint="eastAsia" w:ascii="楷体_GB2312" w:hAnsi="楷体_GB2312" w:eastAsia="楷体_GB2312" w:cs="楷体_GB2312"/>
          <w:sz w:val="30"/>
          <w:szCs w:val="30"/>
          <w:highlight w:val="none"/>
        </w:rPr>
        <w:t>2.报名方式</w:t>
      </w:r>
    </w:p>
    <w:p w14:paraId="7BBE737B">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标人根据招标人在</w:t>
      </w:r>
      <w:r>
        <w:rPr>
          <w:rFonts w:hint="eastAsia" w:ascii="黑体" w:hAnsi="黑体" w:eastAsia="黑体" w:cs="黑体"/>
          <w:b/>
          <w:bCs/>
          <w:sz w:val="30"/>
          <w:szCs w:val="30"/>
          <w:highlight w:val="none"/>
        </w:rPr>
        <w:t>中国重汽官网</w:t>
      </w:r>
      <w:r>
        <w:rPr>
          <w:rFonts w:hint="eastAsia" w:ascii="仿宋_GB2312" w:hAnsi="仿宋" w:eastAsia="仿宋_GB2312" w:cs="Times New Roman"/>
          <w:sz w:val="30"/>
          <w:szCs w:val="30"/>
          <w:highlight w:val="none"/>
        </w:rPr>
        <w:t>上发布的招标信息，在“中国重汽e采通”平台报名。按照中国重汽e采通“SRM非生产供应商注册手册”进行注册，注册时请填写：项目名称和项目编号，供货类别选择“非生产招标/服务/培训教学”。其他的据实填写。</w:t>
      </w:r>
    </w:p>
    <w:p w14:paraId="727C4B1F">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注册完成后登录“e采通平台”进入“供应商应标”，选择对应的项目，点击“应标”后按照投标文件组成资格证明文件要求准备资料并上传，资质审查通过即为报名成功；公示期间请尽快应标。</w:t>
      </w:r>
    </w:p>
    <w:p w14:paraId="7788EB08">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（1）发标时间：202</w:t>
      </w:r>
      <w:r>
        <w:rPr>
          <w:rFonts w:hint="eastAsia" w:ascii="仿宋_GB2312" w:hAnsi="仿宋" w:eastAsia="仿宋_GB2312" w:cs="Times New Roman"/>
          <w:color w:val="000000"/>
          <w:sz w:val="30"/>
          <w:szCs w:val="30"/>
          <w:highlight w:val="none"/>
          <w:lang w:val="en-US" w:eastAsia="zh-CN"/>
        </w:rPr>
        <w:t>5</w:t>
      </w:r>
      <w:r>
        <w:rPr>
          <w:rFonts w:hint="eastAsia" w:ascii="仿宋_GB2312" w:hAnsi="仿宋" w:eastAsia="仿宋_GB2312" w:cs="Times New Roman"/>
          <w:color w:val="000000"/>
          <w:sz w:val="30"/>
          <w:szCs w:val="30"/>
          <w:highlight w:val="none"/>
        </w:rPr>
        <w:t>年</w:t>
      </w:r>
      <w:r>
        <w:rPr>
          <w:rFonts w:hint="eastAsia" w:ascii="仿宋_GB2312" w:hAnsi="仿宋" w:eastAsia="仿宋_GB2312" w:cs="Times New Roman"/>
          <w:color w:val="000000"/>
          <w:sz w:val="30"/>
          <w:szCs w:val="30"/>
          <w:highlight w:val="none"/>
          <w:lang w:val="en-US" w:eastAsia="zh-CN"/>
        </w:rPr>
        <w:t>10</w:t>
      </w:r>
      <w:r>
        <w:rPr>
          <w:rFonts w:hint="eastAsia" w:ascii="仿宋_GB2312" w:hAnsi="仿宋" w:eastAsia="仿宋_GB2312" w:cs="Times New Roman"/>
          <w:color w:val="000000"/>
          <w:sz w:val="30"/>
          <w:szCs w:val="30"/>
          <w:highlight w:val="none"/>
        </w:rPr>
        <w:t>月</w:t>
      </w:r>
      <w:r>
        <w:rPr>
          <w:rFonts w:hint="eastAsia" w:ascii="仿宋_GB2312" w:hAnsi="仿宋" w:eastAsia="仿宋_GB2312" w:cs="Times New Roman"/>
          <w:color w:val="000000"/>
          <w:sz w:val="30"/>
          <w:szCs w:val="30"/>
          <w:highlight w:val="none"/>
          <w:lang w:val="en-US" w:eastAsia="zh-CN"/>
        </w:rPr>
        <w:t>9</w:t>
      </w:r>
      <w:r>
        <w:rPr>
          <w:rFonts w:hint="eastAsia" w:ascii="仿宋_GB2312" w:hAnsi="仿宋" w:eastAsia="仿宋_GB2312" w:cs="Times New Roman"/>
          <w:color w:val="000000"/>
          <w:sz w:val="30"/>
          <w:szCs w:val="30"/>
          <w:highlight w:val="none"/>
        </w:rPr>
        <w:t>日；</w:t>
      </w:r>
    </w:p>
    <w:p w14:paraId="46FF8C07">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（2）应标截止时间：202</w:t>
      </w:r>
      <w:r>
        <w:rPr>
          <w:rFonts w:hint="eastAsia" w:ascii="仿宋_GB2312" w:hAnsi="仿宋" w:eastAsia="仿宋_GB2312" w:cs="Times New Roman"/>
          <w:color w:val="000000"/>
          <w:sz w:val="30"/>
          <w:szCs w:val="30"/>
          <w:highlight w:val="none"/>
          <w:lang w:val="en-US" w:eastAsia="zh-CN"/>
        </w:rPr>
        <w:t>5</w:t>
      </w:r>
      <w:r>
        <w:rPr>
          <w:rFonts w:hint="eastAsia" w:ascii="仿宋_GB2312" w:hAnsi="仿宋" w:eastAsia="仿宋_GB2312" w:cs="Times New Roman"/>
          <w:color w:val="000000"/>
          <w:sz w:val="30"/>
          <w:szCs w:val="30"/>
          <w:highlight w:val="none"/>
        </w:rPr>
        <w:t>年</w:t>
      </w:r>
      <w:r>
        <w:rPr>
          <w:rFonts w:hint="eastAsia" w:ascii="仿宋_GB2312" w:hAnsi="仿宋" w:eastAsia="仿宋_GB2312" w:cs="Times New Roman"/>
          <w:color w:val="000000"/>
          <w:sz w:val="30"/>
          <w:szCs w:val="30"/>
          <w:highlight w:val="none"/>
          <w:lang w:val="en-US" w:eastAsia="zh-CN"/>
        </w:rPr>
        <w:t>10</w:t>
      </w:r>
      <w:r>
        <w:rPr>
          <w:rFonts w:hint="eastAsia" w:ascii="仿宋_GB2312" w:hAnsi="仿宋" w:eastAsia="仿宋_GB2312" w:cs="Times New Roman"/>
          <w:color w:val="000000"/>
          <w:sz w:val="30"/>
          <w:szCs w:val="30"/>
          <w:highlight w:val="none"/>
        </w:rPr>
        <w:t>月</w:t>
      </w:r>
      <w:r>
        <w:rPr>
          <w:rFonts w:hint="eastAsia" w:ascii="仿宋_GB2312" w:hAnsi="仿宋" w:eastAsia="仿宋_GB2312" w:cs="Times New Roman"/>
          <w:color w:val="000000"/>
          <w:sz w:val="30"/>
          <w:szCs w:val="30"/>
          <w:highlight w:val="none"/>
          <w:lang w:val="en-US" w:eastAsia="zh-CN"/>
        </w:rPr>
        <w:t>20</w:t>
      </w:r>
      <w:r>
        <w:rPr>
          <w:rFonts w:hint="eastAsia" w:ascii="仿宋_GB2312" w:hAnsi="仿宋" w:eastAsia="仿宋_GB2312" w:cs="Times New Roman"/>
          <w:color w:val="000000"/>
          <w:sz w:val="30"/>
          <w:szCs w:val="30"/>
          <w:highlight w:val="none"/>
        </w:rPr>
        <w:t>日；</w:t>
      </w:r>
    </w:p>
    <w:p w14:paraId="4CF6FC92">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（3）答疑时间：如果投标人对招标</w:t>
      </w:r>
      <w:bookmarkStart w:id="30" w:name="_GoBack"/>
      <w:bookmarkEnd w:id="30"/>
      <w:r>
        <w:rPr>
          <w:rFonts w:hint="eastAsia" w:ascii="仿宋_GB2312" w:hAnsi="仿宋" w:eastAsia="仿宋_GB2312" w:cs="Times New Roman"/>
          <w:color w:val="000000"/>
          <w:sz w:val="30"/>
          <w:szCs w:val="30"/>
          <w:highlight w:val="none"/>
        </w:rPr>
        <w:t>文件技术部分、商务部分有疑问，请各投标人在本答疑环节提出。提交疑问时间：202</w:t>
      </w:r>
      <w:r>
        <w:rPr>
          <w:rFonts w:hint="eastAsia" w:ascii="仿宋_GB2312" w:hAnsi="仿宋" w:eastAsia="仿宋_GB2312" w:cs="Times New Roman"/>
          <w:color w:val="000000"/>
          <w:sz w:val="30"/>
          <w:szCs w:val="30"/>
          <w:highlight w:val="none"/>
          <w:lang w:val="en-US" w:eastAsia="zh-CN"/>
        </w:rPr>
        <w:t>5</w:t>
      </w:r>
      <w:r>
        <w:rPr>
          <w:rFonts w:hint="eastAsia" w:ascii="仿宋_GB2312" w:hAnsi="仿宋" w:eastAsia="仿宋_GB2312" w:cs="Times New Roman"/>
          <w:color w:val="000000"/>
          <w:sz w:val="30"/>
          <w:szCs w:val="30"/>
          <w:highlight w:val="none"/>
        </w:rPr>
        <w:t>年</w:t>
      </w:r>
      <w:r>
        <w:rPr>
          <w:rFonts w:hint="eastAsia" w:ascii="仿宋_GB2312" w:hAnsi="仿宋" w:eastAsia="仿宋_GB2312" w:cs="Times New Roman"/>
          <w:color w:val="000000"/>
          <w:sz w:val="30"/>
          <w:szCs w:val="30"/>
          <w:highlight w:val="none"/>
          <w:lang w:val="en-US" w:eastAsia="zh-CN"/>
        </w:rPr>
        <w:t>10</w:t>
      </w:r>
      <w:r>
        <w:rPr>
          <w:rFonts w:hint="eastAsia" w:ascii="仿宋_GB2312" w:hAnsi="仿宋" w:eastAsia="仿宋_GB2312" w:cs="Times New Roman"/>
          <w:color w:val="000000"/>
          <w:sz w:val="30"/>
          <w:szCs w:val="30"/>
          <w:highlight w:val="none"/>
        </w:rPr>
        <w:t>月</w:t>
      </w:r>
      <w:r>
        <w:rPr>
          <w:rFonts w:hint="eastAsia" w:ascii="仿宋_GB2312" w:hAnsi="仿宋" w:eastAsia="仿宋_GB2312" w:cs="Times New Roman"/>
          <w:color w:val="000000"/>
          <w:sz w:val="30"/>
          <w:szCs w:val="30"/>
          <w:highlight w:val="none"/>
          <w:lang w:val="en-US" w:eastAsia="zh-CN"/>
        </w:rPr>
        <w:t>20</w:t>
      </w:r>
      <w:r>
        <w:rPr>
          <w:rFonts w:hint="eastAsia" w:ascii="仿宋_GB2312" w:hAnsi="仿宋" w:eastAsia="仿宋_GB2312" w:cs="Times New Roman"/>
          <w:color w:val="000000"/>
          <w:sz w:val="30"/>
          <w:szCs w:val="30"/>
          <w:highlight w:val="none"/>
        </w:rPr>
        <w:t>日17:00前；提交疑问方式：将答疑问题以word文件格式发送至联系人邮件内，并电话联系工作人员查收，邮件名格式为：XXX公司（五个字以内公司简称）XX项目答疑文件。同时必须在邮件中以文字方式提供投标人全称、投标授权人姓名、联系方式（固定电话、手机、电子邮箱），并提供法定代表人授权委托书。</w:t>
      </w:r>
    </w:p>
    <w:p w14:paraId="5A57D73E">
      <w:pPr>
        <w:pStyle w:val="39"/>
        <w:pageBreakBefore w:val="0"/>
        <w:kinsoku/>
        <w:wordWrap/>
        <w:overflowPunct/>
        <w:topLinePunct w:val="0"/>
        <w:bidi w:val="0"/>
        <w:spacing w:line="520" w:lineRule="exact"/>
        <w:ind w:firstLine="602"/>
        <w:textAlignment w:val="auto"/>
        <w:outlineLvl w:val="1"/>
        <w:rPr>
          <w:rFonts w:ascii="楷体_GB2312" w:hAnsi="楷体_GB2312" w:eastAsia="楷体_GB2312" w:cs="楷体_GB2312"/>
          <w:sz w:val="30"/>
          <w:szCs w:val="30"/>
          <w:highlight w:val="none"/>
        </w:rPr>
      </w:pPr>
      <w:r>
        <w:rPr>
          <w:rFonts w:hint="eastAsia" w:ascii="楷体_GB2312" w:hAnsi="楷体_GB2312" w:eastAsia="楷体_GB2312" w:cs="楷体_GB2312"/>
          <w:sz w:val="30"/>
          <w:szCs w:val="30"/>
          <w:highlight w:val="none"/>
        </w:rPr>
        <w:t>3.投标保证金</w:t>
      </w:r>
    </w:p>
    <w:p w14:paraId="21733AC8">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 xml:space="preserve">投标人须向招标人缴纳投标保证金，投标保证金为 </w:t>
      </w:r>
      <w:r>
        <w:rPr>
          <w:rFonts w:hint="eastAsia" w:ascii="仿宋_GB2312" w:hAnsi="仿宋" w:eastAsia="仿宋_GB2312" w:cs="Times New Roman"/>
          <w:sz w:val="30"/>
          <w:szCs w:val="30"/>
          <w:highlight w:val="none"/>
          <w:lang w:val="en-US" w:eastAsia="zh-CN"/>
        </w:rPr>
        <w:t>5</w:t>
      </w:r>
      <w:r>
        <w:rPr>
          <w:rFonts w:hint="eastAsia" w:ascii="仿宋_GB2312" w:hAnsi="仿宋" w:eastAsia="仿宋_GB2312" w:cs="Times New Roman"/>
          <w:sz w:val="30"/>
          <w:szCs w:val="30"/>
          <w:highlight w:val="none"/>
        </w:rPr>
        <w:t>000 元（人民币大写</w:t>
      </w:r>
      <w:r>
        <w:rPr>
          <w:rFonts w:hint="eastAsia" w:ascii="仿宋_GB2312" w:hAnsi="仿宋" w:eastAsia="仿宋_GB2312" w:cs="Times New Roman"/>
          <w:sz w:val="30"/>
          <w:szCs w:val="30"/>
          <w:highlight w:val="none"/>
          <w:lang w:val="en-US" w:eastAsia="zh-CN"/>
        </w:rPr>
        <w:t>伍仟</w:t>
      </w:r>
      <w:r>
        <w:rPr>
          <w:rFonts w:hint="eastAsia" w:ascii="仿宋_GB2312" w:hAnsi="仿宋" w:eastAsia="仿宋_GB2312" w:cs="Times New Roman"/>
          <w:sz w:val="30"/>
          <w:szCs w:val="30"/>
          <w:highlight w:val="none"/>
        </w:rPr>
        <w:t>元整），本次招标收取的投标保证金公对公（基本账户）以现汇形式进行交款，不允许以个人名义交款，汇款时必须注明“</w:t>
      </w:r>
      <w:r>
        <w:rPr>
          <w:rFonts w:hint="eastAsia" w:ascii="仿宋_GB2312" w:hAnsi="仿宋" w:eastAsia="仿宋_GB2312" w:cs="Times New Roman"/>
          <w:sz w:val="30"/>
          <w:szCs w:val="30"/>
          <w:highlight w:val="none"/>
          <w:lang w:eastAsia="zh-CN"/>
        </w:rPr>
        <w:t>中国重汽新晋科级领导干部培训场地项目</w:t>
      </w:r>
      <w:r>
        <w:rPr>
          <w:rFonts w:hint="eastAsia" w:ascii="仿宋_GB2312" w:hAnsi="仿宋" w:eastAsia="仿宋_GB2312" w:cs="Times New Roman"/>
          <w:sz w:val="30"/>
          <w:szCs w:val="30"/>
          <w:highlight w:val="none"/>
        </w:rPr>
        <w:t xml:space="preserve">招标采购招标处置保证金”，收款开户行及账户见下： </w:t>
      </w:r>
    </w:p>
    <w:p w14:paraId="0C9378AE">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名称：中国重汽集团济南动力有限公司</w:t>
      </w:r>
    </w:p>
    <w:p w14:paraId="4A45848F">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地址：山东省济南市高新区华奥路777号</w:t>
      </w:r>
    </w:p>
    <w:p w14:paraId="10359A38">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电话：58062126</w:t>
      </w:r>
    </w:p>
    <w:p w14:paraId="693370C3">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账号：37001616508050150300</w:t>
      </w:r>
    </w:p>
    <w:p w14:paraId="2998D5FD">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开户行行号：105451000362</w:t>
      </w:r>
    </w:p>
    <w:p w14:paraId="20836BAB">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财务电话：0531-58062181</w:t>
      </w:r>
    </w:p>
    <w:p w14:paraId="0475B7CC">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开户行：中国建设银行济南市天桥区支行</w:t>
      </w:r>
    </w:p>
    <w:p w14:paraId="0FB00A8E">
      <w:pPr>
        <w:pStyle w:val="41"/>
        <w:pageBreakBefore w:val="0"/>
        <w:kinsoku/>
        <w:wordWrap/>
        <w:overflowPunct/>
        <w:topLinePunct w:val="0"/>
        <w:bidi w:val="0"/>
        <w:spacing w:line="520" w:lineRule="exact"/>
        <w:ind w:firstLine="600"/>
        <w:textAlignment w:val="auto"/>
        <w:rPr>
          <w:rFonts w:hint="default" w:ascii="仿宋_GB2312" w:hAnsi="仿宋" w:eastAsia="仿宋_GB2312" w:cs="Times New Roman"/>
          <w:sz w:val="30"/>
          <w:szCs w:val="30"/>
          <w:highlight w:val="none"/>
          <w:lang w:val="en-US" w:eastAsia="zh-CN"/>
        </w:rPr>
      </w:pPr>
      <w:r>
        <w:rPr>
          <w:rFonts w:hint="eastAsia" w:ascii="仿宋_GB2312" w:hAnsi="仿宋" w:eastAsia="仿宋_GB2312" w:cs="Times New Roman"/>
          <w:sz w:val="30"/>
          <w:szCs w:val="30"/>
          <w:highlight w:val="none"/>
        </w:rPr>
        <w:t>投标人需将付款证明发送至邮箱。开标时，投标人须向招标人提供付款证明。中标单位的招标保证金在合同签订后的下一月返还到交纳账户；未中标单位的投标保证金在中标结果公布后的下一月返还到交纳账户；开标现场被判定为否决单位的，其投标保证金在开标之后的下一月返还到交纳账户。</w:t>
      </w:r>
      <w:r>
        <w:rPr>
          <w:rFonts w:hint="eastAsia" w:ascii="仿宋_GB2312" w:hAnsi="仿宋" w:eastAsia="仿宋_GB2312" w:cs="Times New Roman"/>
          <w:sz w:val="30"/>
          <w:szCs w:val="30"/>
          <w:highlight w:val="none"/>
          <w:lang w:val="en-US" w:eastAsia="zh-CN"/>
        </w:rPr>
        <w:t>保证金均为无息返还。</w:t>
      </w:r>
    </w:p>
    <w:p w14:paraId="4D42E056">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发生以下情况时，招标人有权没收投标保证金：</w:t>
      </w:r>
    </w:p>
    <w:p w14:paraId="3497BEB1">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a）截至开标前 3 天，投标人无正当理由、未以书面形式向招标人递交说明而在投标截止日不来投标的；</w:t>
      </w:r>
    </w:p>
    <w:p w14:paraId="3716EA7C">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b）投标人递送投标文件后，无正当理由放弃投标的；</w:t>
      </w:r>
    </w:p>
    <w:p w14:paraId="0254F264">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c）自中标通知书发出之日起 30 日内，中标人无正当理由不与招标人签订合同的；</w:t>
      </w:r>
    </w:p>
    <w:p w14:paraId="48272B40">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d）投标人在投标过程中被查实有串标、围标、陪标等违法违纪行为的；</w:t>
      </w:r>
    </w:p>
    <w:p w14:paraId="54994C5F">
      <w:pPr>
        <w:pStyle w:val="41"/>
        <w:pageBreakBefore w:val="0"/>
        <w:kinsoku/>
        <w:wordWrap/>
        <w:overflowPunct/>
        <w:topLinePunct w:val="0"/>
        <w:bidi w:val="0"/>
        <w:spacing w:line="520" w:lineRule="exact"/>
        <w:ind w:firstLine="6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e）投标人有违约违规行为或被投诉、举报的，在调查处理期间，保证金暂不退还，待调查处理结束后按有关规定处理。</w:t>
      </w:r>
    </w:p>
    <w:p w14:paraId="29947DD2">
      <w:pPr>
        <w:pageBreakBefore w:val="0"/>
        <w:kinsoku/>
        <w:wordWrap/>
        <w:overflowPunct/>
        <w:topLinePunct w:val="0"/>
        <w:bidi w:val="0"/>
        <w:spacing w:line="520" w:lineRule="exact"/>
        <w:ind w:firstLine="602" w:firstLineChars="200"/>
        <w:jc w:val="left"/>
        <w:textAlignment w:val="auto"/>
        <w:outlineLvl w:val="1"/>
        <w:rPr>
          <w:rFonts w:ascii="楷体_GB2312" w:hAnsi="楷体_GB2312" w:eastAsia="楷体_GB2312" w:cs="楷体_GB2312"/>
          <w:b/>
          <w:bCs/>
          <w:sz w:val="30"/>
          <w:szCs w:val="30"/>
          <w:highlight w:val="none"/>
        </w:rPr>
      </w:pPr>
      <w:r>
        <w:rPr>
          <w:rFonts w:hint="eastAsia" w:ascii="楷体_GB2312" w:hAnsi="楷体_GB2312" w:eastAsia="楷体_GB2312" w:cs="楷体_GB2312"/>
          <w:b/>
          <w:bCs/>
          <w:sz w:val="30"/>
          <w:szCs w:val="30"/>
          <w:highlight w:val="none"/>
        </w:rPr>
        <w:t>4.投标报价</w:t>
      </w:r>
    </w:p>
    <w:p w14:paraId="3F49AC68">
      <w:pPr>
        <w:pStyle w:val="10"/>
        <w:pageBreakBefore w:val="0"/>
        <w:kinsoku/>
        <w:wordWrap/>
        <w:overflowPunct/>
        <w:topLinePunct w:val="0"/>
        <w:bidi w:val="0"/>
        <w:spacing w:line="520" w:lineRule="exact"/>
        <w:ind w:firstLine="600" w:firstLineChars="200"/>
        <w:textAlignment w:val="auto"/>
        <w:rPr>
          <w:rFonts w:hint="eastAsia"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4.1投标人</w:t>
      </w:r>
    </w:p>
    <w:p w14:paraId="6375BCF6">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须在投标截止日期前将电子标书上传到重汽e采通平台。若逾期未完成重汽e采通上传标书，投标无效。</w:t>
      </w:r>
    </w:p>
    <w:p w14:paraId="1A2A98D7">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4.2投标报价应包括培训场地、住宿、餐饮及物料等全部费用，除此之外，采购方无需支付任何费用。</w:t>
      </w:r>
    </w:p>
    <w:p w14:paraId="66FC562D">
      <w:pPr>
        <w:pStyle w:val="10"/>
        <w:pageBreakBefore w:val="0"/>
        <w:kinsoku/>
        <w:wordWrap/>
        <w:overflowPunct/>
        <w:topLinePunct w:val="0"/>
        <w:bidi w:val="0"/>
        <w:spacing w:line="520" w:lineRule="exact"/>
        <w:ind w:firstLine="600" w:firstLineChars="200"/>
        <w:textAlignment w:val="auto"/>
        <w:rPr>
          <w:rFonts w:hint="eastAsia" w:ascii="仿宋_GB2312" w:hAnsi="仿宋" w:eastAsia="仿宋_GB2312" w:cs="Times New Roman"/>
          <w:color w:val="000000"/>
          <w:sz w:val="30"/>
          <w:szCs w:val="30"/>
          <w:highlight w:val="none"/>
        </w:rPr>
      </w:pPr>
      <w:r>
        <w:rPr>
          <w:rFonts w:hint="eastAsia" w:ascii="仿宋_GB2312" w:hAnsi="仿宋" w:eastAsia="仿宋_GB2312" w:cs="Times New Roman"/>
          <w:color w:val="000000"/>
          <w:sz w:val="30"/>
          <w:szCs w:val="30"/>
          <w:highlight w:val="none"/>
        </w:rPr>
        <w:t>4.3报价货币单位为元（人民币），报价时须注明不含税价、税率以及价税合计等信息。</w:t>
      </w:r>
    </w:p>
    <w:p w14:paraId="3757E01A">
      <w:pPr>
        <w:pStyle w:val="10"/>
        <w:pageBreakBefore w:val="0"/>
        <w:kinsoku/>
        <w:wordWrap/>
        <w:overflowPunct/>
        <w:topLinePunct w:val="0"/>
        <w:bidi w:val="0"/>
        <w:spacing w:line="520" w:lineRule="exact"/>
        <w:ind w:firstLine="600" w:firstLineChars="200"/>
        <w:textAlignment w:val="auto"/>
        <w:rPr>
          <w:rFonts w:hint="default" w:ascii="黑体" w:hAnsi="黑体" w:eastAsia="黑体" w:cs="黑体"/>
          <w:b/>
          <w:bCs/>
          <w:kern w:val="2"/>
          <w:sz w:val="30"/>
          <w:szCs w:val="30"/>
          <w:highlight w:val="none"/>
          <w:lang w:val="en-US" w:eastAsia="zh-CN" w:bidi="ar-SA"/>
        </w:rPr>
      </w:pPr>
      <w:r>
        <w:rPr>
          <w:rFonts w:hint="eastAsia" w:ascii="仿宋_GB2312" w:hAnsi="仿宋" w:eastAsia="仿宋_GB2312" w:cs="Times New Roman"/>
          <w:color w:val="000000"/>
          <w:sz w:val="30"/>
          <w:szCs w:val="30"/>
          <w:highlight w:val="none"/>
          <w:lang w:val="en-US" w:eastAsia="zh-CN"/>
        </w:rPr>
        <w:t>4.4投标限价：</w:t>
      </w:r>
      <w:r>
        <w:rPr>
          <w:rFonts w:hint="eastAsia" w:ascii="黑体" w:hAnsi="黑体" w:eastAsia="黑体" w:cs="黑体"/>
          <w:b/>
          <w:bCs/>
          <w:kern w:val="2"/>
          <w:sz w:val="30"/>
          <w:szCs w:val="30"/>
          <w:highlight w:val="none"/>
          <w:lang w:val="en-US" w:eastAsia="zh-CN" w:bidi="ar-SA"/>
        </w:rPr>
        <w:t>人民币18.96万元（含税）。超过该价格无法投标。</w:t>
      </w:r>
    </w:p>
    <w:p w14:paraId="0470162F">
      <w:pPr>
        <w:pageBreakBefore w:val="0"/>
        <w:kinsoku/>
        <w:wordWrap/>
        <w:overflowPunct/>
        <w:topLinePunct w:val="0"/>
        <w:bidi w:val="0"/>
        <w:spacing w:line="520" w:lineRule="exact"/>
        <w:ind w:firstLine="602" w:firstLineChars="200"/>
        <w:jc w:val="left"/>
        <w:textAlignment w:val="auto"/>
        <w:outlineLvl w:val="1"/>
        <w:rPr>
          <w:rFonts w:ascii="楷体_GB2312" w:hAnsi="楷体_GB2312" w:eastAsia="楷体_GB2312" w:cs="楷体_GB2312"/>
          <w:b/>
          <w:bCs/>
          <w:sz w:val="30"/>
          <w:szCs w:val="30"/>
          <w:highlight w:val="none"/>
        </w:rPr>
      </w:pPr>
      <w:r>
        <w:rPr>
          <w:rFonts w:hint="eastAsia" w:ascii="楷体_GB2312" w:hAnsi="楷体_GB2312" w:eastAsia="楷体_GB2312" w:cs="楷体_GB2312"/>
          <w:b/>
          <w:bCs/>
          <w:sz w:val="30"/>
          <w:szCs w:val="30"/>
          <w:highlight w:val="none"/>
        </w:rPr>
        <w:t>5.评标过程</w:t>
      </w:r>
    </w:p>
    <w:p w14:paraId="31C6F260">
      <w:pPr>
        <w:pageBreakBefore w:val="0"/>
        <w:kinsoku/>
        <w:wordWrap/>
        <w:overflowPunct/>
        <w:topLinePunct w:val="0"/>
        <w:bidi w:val="0"/>
        <w:spacing w:line="520" w:lineRule="exact"/>
        <w:ind w:firstLine="600" w:firstLineChars="200"/>
        <w:textAlignment w:val="auto"/>
        <w:rPr>
          <w:rFonts w:ascii="黑体" w:hAnsi="黑体" w:eastAsia="黑体" w:cs="黑体"/>
          <w:b/>
          <w:bCs/>
          <w:sz w:val="30"/>
          <w:szCs w:val="30"/>
          <w:highlight w:val="none"/>
        </w:rPr>
      </w:pPr>
      <w:r>
        <w:rPr>
          <w:rFonts w:hint="eastAsia" w:ascii="仿宋_GB2312" w:hAnsi="仿宋" w:eastAsia="仿宋_GB2312"/>
          <w:sz w:val="30"/>
          <w:szCs w:val="30"/>
          <w:highlight w:val="none"/>
        </w:rPr>
        <w:t>为保证项目顺利实施，由招标人组织、按国家法律法规及公司相关规章制度要求，设立评标工作小组，投标人在讲标时，须由拟担任招标项目的项目经理及项目组成员讲标，其中：讲标</w:t>
      </w:r>
      <w:r>
        <w:rPr>
          <w:rFonts w:hint="eastAsia" w:ascii="仿宋_GB2312" w:hAnsi="仿宋" w:eastAsia="仿宋_GB2312"/>
          <w:sz w:val="30"/>
          <w:szCs w:val="30"/>
          <w:highlight w:val="none"/>
          <w:lang w:val="en-US" w:eastAsia="zh-CN"/>
        </w:rPr>
        <w:t>15</w:t>
      </w:r>
      <w:r>
        <w:rPr>
          <w:rFonts w:hint="eastAsia" w:ascii="仿宋_GB2312" w:hAnsi="仿宋" w:eastAsia="仿宋_GB2312"/>
          <w:sz w:val="30"/>
          <w:szCs w:val="30"/>
          <w:highlight w:val="none"/>
        </w:rPr>
        <w:t>分钟，现场答疑时间</w:t>
      </w:r>
      <w:r>
        <w:rPr>
          <w:rFonts w:hint="eastAsia" w:ascii="仿宋_GB2312" w:hAnsi="仿宋" w:eastAsia="仿宋_GB2312"/>
          <w:sz w:val="30"/>
          <w:szCs w:val="30"/>
          <w:highlight w:val="none"/>
          <w:lang w:val="en-US" w:eastAsia="zh-CN"/>
        </w:rPr>
        <w:t>15</w:t>
      </w:r>
      <w:r>
        <w:rPr>
          <w:rFonts w:hint="eastAsia" w:ascii="仿宋_GB2312" w:hAnsi="仿宋" w:eastAsia="仿宋_GB2312"/>
          <w:sz w:val="30"/>
          <w:szCs w:val="30"/>
          <w:highlight w:val="none"/>
        </w:rPr>
        <w:t>分钟。</w:t>
      </w:r>
      <w:r>
        <w:rPr>
          <w:rFonts w:hint="eastAsia" w:ascii="黑体" w:hAnsi="黑体" w:eastAsia="黑体" w:cs="黑体"/>
          <w:b/>
          <w:bCs/>
          <w:sz w:val="30"/>
          <w:szCs w:val="30"/>
          <w:highlight w:val="none"/>
        </w:rPr>
        <w:t xml:space="preserve">  </w:t>
      </w:r>
    </w:p>
    <w:p w14:paraId="4D3087C4">
      <w:pPr>
        <w:pageBreakBefore w:val="0"/>
        <w:kinsoku/>
        <w:wordWrap/>
        <w:overflowPunct/>
        <w:topLinePunct w:val="0"/>
        <w:bidi w:val="0"/>
        <w:spacing w:line="520" w:lineRule="exact"/>
        <w:ind w:firstLine="600" w:firstLineChars="200"/>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5.1通过应标资格审查，报名成功的单位进入投标环节，按照“SRM系统供应商用户手册”，在重汽e采通平台投递电子标书（包含资质标、技术标、商务标），没有通过应标资质审查的单位不能进入投标环节；</w:t>
      </w:r>
    </w:p>
    <w:p w14:paraId="5D680B83">
      <w:pPr>
        <w:pageBreakBefore w:val="0"/>
        <w:kinsoku/>
        <w:wordWrap/>
        <w:overflowPunct/>
        <w:topLinePunct w:val="0"/>
        <w:bidi w:val="0"/>
        <w:spacing w:line="520" w:lineRule="exact"/>
        <w:ind w:firstLine="600" w:firstLineChars="200"/>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5.2资质标评审：招标人通过重汽e采通平台对投标人的的《资质标》进行审核，审核通过的单位，进入技术标评审；</w:t>
      </w:r>
    </w:p>
    <w:p w14:paraId="773DCB66">
      <w:pPr>
        <w:pageBreakBefore w:val="0"/>
        <w:kinsoku/>
        <w:wordWrap/>
        <w:overflowPunct/>
        <w:topLinePunct w:val="0"/>
        <w:bidi w:val="0"/>
        <w:spacing w:line="520" w:lineRule="exact"/>
        <w:ind w:firstLine="600" w:firstLineChars="200"/>
        <w:textAlignment w:val="auto"/>
        <w:rPr>
          <w:rFonts w:ascii="黑体" w:hAnsi="黑体" w:eastAsia="黑体" w:cs="黑体"/>
          <w:b/>
          <w:bCs/>
          <w:sz w:val="30"/>
          <w:szCs w:val="30"/>
          <w:highlight w:val="none"/>
        </w:rPr>
      </w:pPr>
      <w:r>
        <w:rPr>
          <w:rFonts w:hint="eastAsia" w:ascii="仿宋_GB2312" w:hAnsi="仿宋" w:eastAsia="仿宋_GB2312"/>
          <w:sz w:val="30"/>
          <w:szCs w:val="30"/>
          <w:highlight w:val="none"/>
        </w:rPr>
        <w:t>5.3技术标评审：技术标评标专家组，通过重汽e采通，对各投标人的《技术标》进行综合评审；评审期间产生的技术澄清均由投标人在重汽e采通平台内完成提交；</w:t>
      </w:r>
      <w:r>
        <w:rPr>
          <w:rFonts w:hint="eastAsia" w:ascii="黑体" w:hAnsi="黑体" w:eastAsia="黑体" w:cs="黑体"/>
          <w:b/>
          <w:bCs/>
          <w:sz w:val="30"/>
          <w:szCs w:val="30"/>
          <w:highlight w:val="none"/>
        </w:rPr>
        <w:t>本次招标采用</w:t>
      </w:r>
      <w:r>
        <w:rPr>
          <w:rFonts w:hint="eastAsia" w:ascii="黑体" w:hAnsi="黑体" w:eastAsia="黑体" w:cs="黑体"/>
          <w:b/>
          <w:bCs/>
          <w:sz w:val="30"/>
          <w:szCs w:val="30"/>
          <w:highlight w:val="none"/>
          <w:lang w:val="en-US" w:eastAsia="zh-CN"/>
        </w:rPr>
        <w:t>技术标和</w:t>
      </w:r>
      <w:r>
        <w:rPr>
          <w:rFonts w:hint="eastAsia" w:ascii="黑体" w:hAnsi="黑体" w:eastAsia="黑体" w:cs="黑体"/>
          <w:b/>
          <w:bCs/>
          <w:sz w:val="30"/>
          <w:szCs w:val="30"/>
          <w:highlight w:val="none"/>
        </w:rPr>
        <w:t>商务标</w:t>
      </w:r>
      <w:r>
        <w:rPr>
          <w:rFonts w:hint="eastAsia" w:ascii="黑体" w:hAnsi="黑体" w:eastAsia="黑体" w:cs="黑体"/>
          <w:b/>
          <w:bCs/>
          <w:sz w:val="30"/>
          <w:szCs w:val="30"/>
          <w:highlight w:val="none"/>
          <w:lang w:val="en-US" w:eastAsia="zh-CN"/>
        </w:rPr>
        <w:t>分级</w:t>
      </w:r>
      <w:r>
        <w:rPr>
          <w:rFonts w:hint="eastAsia" w:ascii="黑体" w:hAnsi="黑体" w:eastAsia="黑体" w:cs="黑体"/>
          <w:b/>
          <w:bCs/>
          <w:sz w:val="30"/>
          <w:szCs w:val="30"/>
          <w:highlight w:val="none"/>
        </w:rPr>
        <w:t>开标的模式，技术标评分低于</w:t>
      </w:r>
      <w:r>
        <w:rPr>
          <w:rFonts w:hint="eastAsia" w:ascii="黑体" w:hAnsi="黑体" w:eastAsia="黑体" w:cs="黑体"/>
          <w:b/>
          <w:bCs/>
          <w:sz w:val="30"/>
          <w:szCs w:val="30"/>
          <w:highlight w:val="none"/>
          <w:lang w:eastAsia="zh-CN"/>
        </w:rPr>
        <w:t>7</w:t>
      </w:r>
      <w:r>
        <w:rPr>
          <w:rFonts w:hint="eastAsia" w:ascii="黑体" w:hAnsi="黑体" w:eastAsia="黑体" w:cs="黑体"/>
          <w:b/>
          <w:bCs/>
          <w:sz w:val="30"/>
          <w:szCs w:val="30"/>
          <w:highlight w:val="none"/>
        </w:rPr>
        <w:t>0分予以淘汰；</w:t>
      </w:r>
    </w:p>
    <w:p w14:paraId="678F42B7">
      <w:pPr>
        <w:pageBreakBefore w:val="0"/>
        <w:kinsoku/>
        <w:wordWrap/>
        <w:overflowPunct/>
        <w:topLinePunct w:val="0"/>
        <w:bidi w:val="0"/>
        <w:spacing w:line="520" w:lineRule="exact"/>
        <w:ind w:firstLine="600" w:firstLineChars="200"/>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5.4商务标评审：公开唱标→商务条款相应确认→价格澄清→商务标评审，采用多轮商务谈判。评审期间产生的商务价格澄清均由投标人在重汽e采通平台内限时完成提交；</w:t>
      </w:r>
    </w:p>
    <w:p w14:paraId="41DC5E8D">
      <w:pPr>
        <w:pageBreakBefore w:val="0"/>
        <w:kinsoku/>
        <w:wordWrap/>
        <w:overflowPunct/>
        <w:topLinePunct w:val="0"/>
        <w:bidi w:val="0"/>
        <w:spacing w:line="520" w:lineRule="exact"/>
        <w:ind w:firstLine="600" w:firstLineChars="200"/>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 xml:space="preserve"> 注意：投标人均需自带笔记本电脑在重汽e采通平台自主进行投标和提交澄清函；投标和提交澄清函均有时间限制，超时未提交的按无效处理。  </w:t>
      </w:r>
    </w:p>
    <w:p w14:paraId="2C58F3E1">
      <w:pPr>
        <w:pageBreakBefore w:val="0"/>
        <w:kinsoku/>
        <w:wordWrap/>
        <w:overflowPunct/>
        <w:topLinePunct w:val="0"/>
        <w:bidi w:val="0"/>
        <w:spacing w:line="520" w:lineRule="exact"/>
        <w:ind w:firstLine="600" w:firstLineChars="200"/>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5.5中标人确定：</w:t>
      </w:r>
      <w:r>
        <w:rPr>
          <w:rFonts w:hint="eastAsia" w:ascii="黑体" w:hAnsi="黑体" w:eastAsia="黑体" w:cs="黑体"/>
          <w:b/>
          <w:bCs/>
          <w:sz w:val="30"/>
          <w:szCs w:val="30"/>
          <w:highlight w:val="none"/>
        </w:rPr>
        <w:t>技术标入围后，综合考虑技术标得分、商务标得分，加权最终得分推荐</w:t>
      </w:r>
      <w:r>
        <w:rPr>
          <w:rFonts w:hint="eastAsia" w:ascii="黑体" w:hAnsi="黑体" w:eastAsia="黑体" w:cs="黑体"/>
          <w:b/>
          <w:bCs/>
          <w:sz w:val="30"/>
          <w:szCs w:val="30"/>
          <w:highlight w:val="none"/>
          <w:lang w:val="en-US" w:eastAsia="zh-CN"/>
        </w:rPr>
        <w:t>中标候选人</w:t>
      </w:r>
      <w:r>
        <w:rPr>
          <w:rFonts w:hint="eastAsia" w:ascii="黑体" w:hAnsi="黑体" w:eastAsia="黑体" w:cs="黑体"/>
          <w:b/>
          <w:bCs/>
          <w:sz w:val="30"/>
          <w:szCs w:val="30"/>
          <w:highlight w:val="none"/>
        </w:rPr>
        <w:t>（最终得分=技术标得分*</w:t>
      </w:r>
      <w:r>
        <w:rPr>
          <w:rFonts w:hint="eastAsia" w:ascii="黑体" w:hAnsi="黑体" w:eastAsia="黑体" w:cs="黑体"/>
          <w:b/>
          <w:bCs/>
          <w:sz w:val="30"/>
          <w:szCs w:val="30"/>
          <w:highlight w:val="none"/>
          <w:lang w:val="en-US" w:eastAsia="zh-CN"/>
        </w:rPr>
        <w:t>4</w:t>
      </w:r>
      <w:r>
        <w:rPr>
          <w:rFonts w:hint="eastAsia" w:ascii="黑体" w:hAnsi="黑体" w:eastAsia="黑体" w:cs="黑体"/>
          <w:b/>
          <w:bCs/>
          <w:sz w:val="30"/>
          <w:szCs w:val="30"/>
          <w:highlight w:val="none"/>
        </w:rPr>
        <w:t>0%+商务标得分*</w:t>
      </w:r>
      <w:r>
        <w:rPr>
          <w:rFonts w:hint="eastAsia" w:ascii="黑体" w:hAnsi="黑体" w:eastAsia="黑体" w:cs="黑体"/>
          <w:b/>
          <w:bCs/>
          <w:sz w:val="30"/>
          <w:szCs w:val="30"/>
          <w:highlight w:val="none"/>
          <w:lang w:val="en-US" w:eastAsia="zh-CN"/>
        </w:rPr>
        <w:t>6</w:t>
      </w:r>
      <w:r>
        <w:rPr>
          <w:rFonts w:hint="eastAsia" w:ascii="黑体" w:hAnsi="黑体" w:eastAsia="黑体" w:cs="黑体"/>
          <w:b/>
          <w:bCs/>
          <w:sz w:val="30"/>
          <w:szCs w:val="30"/>
          <w:highlight w:val="none"/>
        </w:rPr>
        <w:t>0%，保留两位小数）。</w:t>
      </w:r>
      <w:r>
        <w:rPr>
          <w:rFonts w:hint="eastAsia" w:ascii="仿宋_GB2312" w:hAnsi="仿宋" w:eastAsia="仿宋_GB2312"/>
          <w:sz w:val="30"/>
          <w:szCs w:val="30"/>
          <w:highlight w:val="none"/>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55546F44">
      <w:pPr>
        <w:pageBreakBefore w:val="0"/>
        <w:kinsoku/>
        <w:wordWrap/>
        <w:overflowPunct/>
        <w:topLinePunct w:val="0"/>
        <w:bidi w:val="0"/>
        <w:spacing w:line="520" w:lineRule="exact"/>
        <w:ind w:firstLine="602" w:firstLineChars="200"/>
        <w:jc w:val="left"/>
        <w:textAlignment w:val="auto"/>
        <w:outlineLvl w:val="1"/>
        <w:rPr>
          <w:rFonts w:ascii="楷体_GB2312" w:hAnsi="楷体_GB2312" w:eastAsia="楷体_GB2312" w:cs="楷体_GB2312"/>
          <w:b/>
          <w:bCs/>
          <w:sz w:val="30"/>
          <w:szCs w:val="30"/>
          <w:highlight w:val="none"/>
        </w:rPr>
      </w:pPr>
      <w:r>
        <w:rPr>
          <w:rFonts w:hint="eastAsia" w:ascii="楷体_GB2312" w:hAnsi="楷体_GB2312" w:eastAsia="楷体_GB2312" w:cs="楷体_GB2312"/>
          <w:b/>
          <w:bCs/>
          <w:sz w:val="30"/>
          <w:szCs w:val="30"/>
          <w:highlight w:val="none"/>
          <w:lang w:val="en-US" w:eastAsia="zh-CN"/>
        </w:rPr>
        <w:t>6</w:t>
      </w:r>
      <w:r>
        <w:rPr>
          <w:rFonts w:hint="eastAsia" w:ascii="楷体_GB2312" w:hAnsi="楷体_GB2312" w:eastAsia="楷体_GB2312" w:cs="楷体_GB2312"/>
          <w:b/>
          <w:bCs/>
          <w:sz w:val="30"/>
          <w:szCs w:val="30"/>
          <w:highlight w:val="none"/>
        </w:rPr>
        <w:t>.付款条件及付款方式</w:t>
      </w:r>
    </w:p>
    <w:p w14:paraId="622BBB22">
      <w:pPr>
        <w:pageBreakBefore w:val="0"/>
        <w:kinsoku/>
        <w:wordWrap/>
        <w:overflowPunct/>
        <w:topLinePunct w:val="0"/>
        <w:autoSpaceDE w:val="0"/>
        <w:autoSpaceDN w:val="0"/>
        <w:bidi w:val="0"/>
        <w:adjustRightInd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6</w:t>
      </w:r>
      <w:r>
        <w:rPr>
          <w:rFonts w:hint="eastAsia" w:ascii="仿宋_GB2312" w:hAnsi="仿宋" w:eastAsia="仿宋_GB2312"/>
          <w:sz w:val="30"/>
          <w:szCs w:val="30"/>
          <w:highlight w:val="none"/>
        </w:rPr>
        <w:t>.1付款条件：投标人完成合同约定的服务事项，且在服务过程中无明显纰漏，</w:t>
      </w:r>
      <w:r>
        <w:rPr>
          <w:rFonts w:hint="eastAsia" w:ascii="仿宋_GB2312" w:hAnsi="仿宋" w:eastAsia="仿宋_GB2312"/>
          <w:sz w:val="30"/>
          <w:szCs w:val="30"/>
          <w:highlight w:val="none"/>
          <w:lang w:val="en-US" w:eastAsia="zh-CN"/>
        </w:rPr>
        <w:t>招标人可按照项目进度完成情况，按比例分期付款</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lang w:val="en-US" w:eastAsia="zh-CN"/>
        </w:rPr>
        <w:t>原则上项目进度过半，方可进行付款。</w:t>
      </w:r>
      <w:r>
        <w:rPr>
          <w:rFonts w:hint="eastAsia" w:ascii="仿宋_GB2312" w:hAnsi="仿宋" w:eastAsia="仿宋_GB2312"/>
          <w:sz w:val="30"/>
          <w:szCs w:val="30"/>
          <w:highlight w:val="none"/>
        </w:rPr>
        <w:t>对于特殊情形，经双方协商一致可以适当延期或变更支付条件。</w:t>
      </w:r>
    </w:p>
    <w:p w14:paraId="3A276376">
      <w:pPr>
        <w:pageBreakBefore w:val="0"/>
        <w:kinsoku/>
        <w:wordWrap/>
        <w:overflowPunct/>
        <w:topLinePunct w:val="0"/>
        <w:autoSpaceDE/>
        <w:autoSpaceDN/>
        <w:bidi w:val="0"/>
        <w:adjustRightInd/>
        <w:spacing w:beforeLines="0" w:afterLines="0" w:line="520" w:lineRule="exact"/>
        <w:ind w:firstLine="600" w:firstLineChars="200"/>
        <w:jc w:val="left"/>
        <w:textAlignment w:val="auto"/>
        <w:rPr>
          <w:rFonts w:hint="eastAsia" w:ascii="黑体" w:hAnsi="黑体" w:eastAsia="黑体" w:cs="黑体"/>
          <w:b/>
          <w:bCs/>
          <w:sz w:val="30"/>
          <w:szCs w:val="30"/>
          <w:highlight w:val="none"/>
        </w:rPr>
      </w:pPr>
      <w:r>
        <w:rPr>
          <w:rFonts w:hint="eastAsia" w:ascii="仿宋_GB2312" w:hAnsi="仿宋" w:eastAsia="仿宋_GB2312"/>
          <w:sz w:val="30"/>
          <w:szCs w:val="30"/>
          <w:highlight w:val="none"/>
          <w:lang w:val="en-US" w:eastAsia="zh-CN"/>
        </w:rPr>
        <w:t>6</w:t>
      </w:r>
      <w:r>
        <w:rPr>
          <w:rFonts w:hint="eastAsia" w:ascii="仿宋_GB2312" w:hAnsi="仿宋" w:eastAsia="仿宋_GB2312"/>
          <w:sz w:val="30"/>
          <w:szCs w:val="30"/>
          <w:highlight w:val="none"/>
        </w:rPr>
        <w:t>.2付款方式：</w:t>
      </w:r>
      <w:r>
        <w:rPr>
          <w:rFonts w:hint="eastAsia" w:ascii="黑体" w:hAnsi="黑体" w:eastAsia="黑体" w:cs="黑体"/>
          <w:b/>
          <w:bCs/>
          <w:sz w:val="30"/>
          <w:szCs w:val="30"/>
          <w:highlight w:val="none"/>
          <w:lang w:val="en-US" w:eastAsia="zh-CN"/>
        </w:rPr>
        <w:t>银行转账</w:t>
      </w:r>
      <w:r>
        <w:rPr>
          <w:rFonts w:hint="eastAsia" w:ascii="黑体" w:hAnsi="黑体" w:eastAsia="黑体" w:cs="黑体"/>
          <w:b/>
          <w:bCs/>
          <w:sz w:val="30"/>
          <w:szCs w:val="30"/>
          <w:highlight w:val="none"/>
        </w:rPr>
        <w:t>。</w:t>
      </w:r>
    </w:p>
    <w:p w14:paraId="33D26A59">
      <w:pPr>
        <w:pageBreakBefore w:val="0"/>
        <w:kinsoku/>
        <w:wordWrap/>
        <w:overflowPunct/>
        <w:topLinePunct w:val="0"/>
        <w:autoSpaceDE/>
        <w:autoSpaceDN/>
        <w:bidi w:val="0"/>
        <w:adjustRightInd/>
        <w:spacing w:beforeLines="0" w:afterLines="0" w:line="520" w:lineRule="exact"/>
        <w:ind w:firstLine="600" w:firstLineChars="200"/>
        <w:jc w:val="left"/>
        <w:textAlignment w:val="auto"/>
        <w:rPr>
          <w:rFonts w:hint="eastAsia" w:ascii="仿宋_GB2312" w:hAnsi="仿宋" w:eastAsia="仿宋_GB2312" w:cs="Times New Roman"/>
          <w:b w:val="0"/>
          <w:bCs w:val="0"/>
          <w:sz w:val="30"/>
          <w:szCs w:val="30"/>
          <w:highlight w:val="none"/>
          <w:lang w:eastAsia="zh-CN"/>
        </w:rPr>
      </w:pPr>
      <w:r>
        <w:rPr>
          <w:rFonts w:hint="eastAsia" w:ascii="仿宋_GB2312" w:hAnsi="仿宋" w:eastAsia="仿宋_GB2312"/>
          <w:sz w:val="30"/>
          <w:szCs w:val="30"/>
          <w:highlight w:val="none"/>
        </w:rPr>
        <w:t>乙方按照合同约定提供培训场地、住宿、餐饮及物料服务，</w:t>
      </w:r>
      <w:r>
        <w:rPr>
          <w:rFonts w:hint="eastAsia" w:ascii="仿宋_GB2312" w:hAnsi="仿宋" w:eastAsia="仿宋_GB2312"/>
          <w:sz w:val="30"/>
          <w:szCs w:val="30"/>
          <w:highlight w:val="none"/>
          <w:lang w:val="en-US" w:eastAsia="zh-CN"/>
        </w:rPr>
        <w:t>项目结束</w:t>
      </w:r>
      <w:r>
        <w:rPr>
          <w:rFonts w:hint="eastAsia" w:ascii="仿宋_GB2312" w:hAnsi="仿宋" w:eastAsia="仿宋_GB2312"/>
          <w:sz w:val="30"/>
          <w:szCs w:val="30"/>
          <w:highlight w:val="none"/>
        </w:rPr>
        <w:t>并经甲方确认后，乙方按合同约定金额开具符合法律规定的增值税专用发票</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rPr>
        <w:t>甲方收到发票后30个工作日内支付发票载明的采购费用。</w:t>
      </w:r>
      <w:r>
        <w:rPr>
          <w:rFonts w:hint="eastAsia" w:ascii="仿宋_GB2312" w:hAnsi="Calibri" w:eastAsia="仿宋_GB2312" w:cs="Times New Roman"/>
          <w:sz w:val="30"/>
          <w:szCs w:val="30"/>
          <w:highlight w:val="none"/>
        </w:rPr>
        <w:t>因发票违规给付款方造成的增值税、所得税等损失，由开票方承担相关责任，包括但不限于税款、滞纳金、罚款及其它相关损失</w:t>
      </w:r>
      <w:r>
        <w:rPr>
          <w:rFonts w:hint="eastAsia" w:ascii="仿宋_GB2312" w:hAnsi="Calibri" w:eastAsia="仿宋_GB2312" w:cs="Times New Roman"/>
          <w:sz w:val="30"/>
          <w:szCs w:val="30"/>
          <w:highlight w:val="none"/>
          <w:lang w:eastAsia="zh-CN"/>
        </w:rPr>
        <w:t>。</w:t>
      </w:r>
    </w:p>
    <w:p w14:paraId="569FBF51">
      <w:pPr>
        <w:pageBreakBefore w:val="0"/>
        <w:kinsoku/>
        <w:wordWrap/>
        <w:overflowPunct/>
        <w:topLinePunct w:val="0"/>
        <w:bidi w:val="0"/>
        <w:spacing w:line="520" w:lineRule="exact"/>
        <w:ind w:firstLine="602" w:firstLineChars="200"/>
        <w:jc w:val="left"/>
        <w:textAlignment w:val="auto"/>
        <w:outlineLvl w:val="1"/>
        <w:rPr>
          <w:rFonts w:hint="eastAsia" w:ascii="楷体_GB2312" w:hAnsi="楷体_GB2312" w:eastAsia="楷体_GB2312" w:cs="楷体_GB2312"/>
          <w:b/>
          <w:bCs/>
          <w:sz w:val="30"/>
          <w:szCs w:val="30"/>
          <w:highlight w:val="none"/>
          <w:lang w:eastAsia="zh-CN"/>
        </w:rPr>
      </w:pPr>
      <w:bookmarkStart w:id="5" w:name="_Toc30928"/>
      <w:r>
        <w:rPr>
          <w:rFonts w:hint="eastAsia" w:ascii="楷体_GB2312" w:hAnsi="楷体_GB2312" w:eastAsia="楷体_GB2312" w:cs="楷体_GB2312"/>
          <w:b/>
          <w:bCs/>
          <w:sz w:val="30"/>
          <w:szCs w:val="30"/>
          <w:highlight w:val="none"/>
          <w:lang w:val="en-US" w:eastAsia="zh-CN"/>
        </w:rPr>
        <w:t>7</w:t>
      </w:r>
      <w:r>
        <w:rPr>
          <w:rFonts w:hint="eastAsia" w:ascii="楷体_GB2312" w:hAnsi="楷体_GB2312" w:eastAsia="楷体_GB2312" w:cs="楷体_GB2312"/>
          <w:b/>
          <w:bCs/>
          <w:sz w:val="30"/>
          <w:szCs w:val="30"/>
          <w:highlight w:val="none"/>
        </w:rPr>
        <w:t>.评标原则和评分标准</w:t>
      </w:r>
    </w:p>
    <w:p w14:paraId="32D4DBB1">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lang w:val="en-US" w:eastAsia="zh-CN"/>
        </w:rPr>
        <w:t>7</w:t>
      </w:r>
      <w:r>
        <w:rPr>
          <w:rFonts w:hint="eastAsia" w:ascii="仿宋_GB2312" w:hAnsi="仿宋" w:eastAsia="仿宋_GB2312"/>
          <w:sz w:val="30"/>
          <w:szCs w:val="30"/>
          <w:highlight w:val="none"/>
        </w:rPr>
        <w:t>.1评标工作由招标人为该项目依法组织的、由3人及以上单数成员组成的评标工作小组负责。由评标工作小组按照国家招投标有关规定，本着公平、公正、公开、有序的原则，在最大限度地满足招标文件实质性要求的前提下，按照招标文件中规定的各项因素进行评审。</w:t>
      </w:r>
    </w:p>
    <w:p w14:paraId="495FF9AA">
      <w:pPr>
        <w:pageBreakBefore w:val="0"/>
        <w:numPr>
          <w:ilvl w:val="0"/>
          <w:numId w:val="0"/>
        </w:numPr>
        <w:kinsoku/>
        <w:wordWrap/>
        <w:overflowPunct/>
        <w:topLinePunct w:val="0"/>
        <w:bidi w:val="0"/>
        <w:spacing w:line="520" w:lineRule="exact"/>
        <w:ind w:firstLine="600" w:firstLineChars="200"/>
        <w:jc w:val="left"/>
        <w:textAlignment w:val="auto"/>
        <w:outlineLvl w:val="2"/>
        <w:rPr>
          <w:rFonts w:hint="eastAsia" w:ascii="仿宋_GB2312" w:hAnsi="仿宋" w:eastAsia="仿宋_GB2312"/>
          <w:sz w:val="30"/>
          <w:szCs w:val="30"/>
          <w:highlight w:val="none"/>
        </w:rPr>
      </w:pP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lang w:val="en-US" w:eastAsia="zh-CN"/>
        </w:rPr>
        <w:t>1</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rPr>
        <w:t>技术标评分标准如下：</w:t>
      </w:r>
    </w:p>
    <w:tbl>
      <w:tblPr>
        <w:tblStyle w:val="20"/>
        <w:tblW w:w="98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1277"/>
        <w:gridCol w:w="5578"/>
        <w:gridCol w:w="1286"/>
        <w:gridCol w:w="544"/>
      </w:tblGrid>
      <w:tr w14:paraId="0960F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34" w:type="dxa"/>
            <w:vAlign w:val="center"/>
          </w:tcPr>
          <w:p w14:paraId="21357DF1">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项目</w:t>
            </w:r>
          </w:p>
        </w:tc>
        <w:tc>
          <w:tcPr>
            <w:tcW w:w="1277" w:type="dxa"/>
            <w:shd w:val="clear" w:color="auto" w:fill="auto"/>
            <w:vAlign w:val="center"/>
          </w:tcPr>
          <w:p w14:paraId="7FD20357">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细则</w:t>
            </w:r>
          </w:p>
        </w:tc>
        <w:tc>
          <w:tcPr>
            <w:tcW w:w="6864" w:type="dxa"/>
            <w:gridSpan w:val="2"/>
            <w:shd w:val="clear" w:color="auto" w:fill="auto"/>
            <w:vAlign w:val="center"/>
          </w:tcPr>
          <w:p w14:paraId="572F722D">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技术标评分标准</w:t>
            </w:r>
          </w:p>
        </w:tc>
        <w:tc>
          <w:tcPr>
            <w:tcW w:w="544" w:type="dxa"/>
            <w:shd w:val="clear" w:color="auto" w:fill="auto"/>
            <w:vAlign w:val="center"/>
          </w:tcPr>
          <w:p w14:paraId="272E4CC3">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得分</w:t>
            </w:r>
          </w:p>
        </w:tc>
      </w:tr>
      <w:tr w14:paraId="2C090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2" w:hRule="atLeast"/>
          <w:jc w:val="center"/>
        </w:trPr>
        <w:tc>
          <w:tcPr>
            <w:tcW w:w="1134" w:type="dxa"/>
            <w:vMerge w:val="restart"/>
            <w:vAlign w:val="center"/>
          </w:tcPr>
          <w:p w14:paraId="51DB4305">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技术标</w:t>
            </w:r>
          </w:p>
          <w:p w14:paraId="29ED72ED">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（100分）</w:t>
            </w:r>
          </w:p>
        </w:tc>
        <w:tc>
          <w:tcPr>
            <w:tcW w:w="1277" w:type="dxa"/>
            <w:shd w:val="clear" w:color="auto" w:fill="auto"/>
            <w:vAlign w:val="center"/>
          </w:tcPr>
          <w:p w14:paraId="3CAD0194">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基础服务能力与设施条件匹配度</w:t>
            </w:r>
          </w:p>
          <w:p w14:paraId="14B16745">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w:t>
            </w:r>
            <w:r>
              <w:rPr>
                <w:rFonts w:hint="eastAsia" w:ascii="仿宋_GB2312" w:hAnsi="仿宋_GB2312" w:eastAsia="仿宋_GB2312" w:cs="仿宋_GB2312"/>
                <w:sz w:val="24"/>
                <w:szCs w:val="24"/>
                <w:highlight w:val="none"/>
                <w:lang w:val="en-US" w:eastAsia="zh-CN"/>
              </w:rPr>
              <w:t>5</w:t>
            </w:r>
            <w:r>
              <w:rPr>
                <w:rFonts w:hint="eastAsia" w:ascii="仿宋_GB2312" w:hAnsi="仿宋_GB2312" w:eastAsia="仿宋_GB2312" w:cs="仿宋_GB2312"/>
                <w:sz w:val="24"/>
                <w:szCs w:val="24"/>
                <w:highlight w:val="none"/>
              </w:rPr>
              <w:t>0 分）</w:t>
            </w:r>
          </w:p>
        </w:tc>
        <w:tc>
          <w:tcPr>
            <w:tcW w:w="5578" w:type="dxa"/>
            <w:shd w:val="clear" w:color="auto" w:fill="auto"/>
            <w:vAlign w:val="center"/>
          </w:tcPr>
          <w:p w14:paraId="7B5034A0">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1.</w:t>
            </w:r>
            <w:r>
              <w:rPr>
                <w:rFonts w:hint="eastAsia" w:ascii="仿宋_GB2312" w:hAnsi="仿宋_GB2312" w:eastAsia="仿宋_GB2312" w:cs="仿宋_GB2312"/>
                <w:sz w:val="24"/>
                <w:szCs w:val="24"/>
                <w:highlight w:val="none"/>
              </w:rPr>
              <w:t>场地方面：</w:t>
            </w:r>
            <w:r>
              <w:rPr>
                <w:rFonts w:hint="default" w:ascii="仿宋_GB2312" w:hAnsi="仿宋_GB2312" w:eastAsia="仿宋_GB2312" w:cs="仿宋_GB2312"/>
                <w:sz w:val="24"/>
                <w:szCs w:val="24"/>
                <w:highlight w:val="none"/>
              </w:rPr>
              <w:t>评估场地面积大小、功能分区合理性、教学设备（如音响、投影、网络）的完备性与先进性、环境舒适度（采光、通风、温控）以及配套设施（如卫生间、电梯、指示标识）的完善程度。</w:t>
            </w:r>
          </w:p>
          <w:p w14:paraId="6662963A">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2.</w:t>
            </w:r>
            <w:r>
              <w:rPr>
                <w:rFonts w:hint="default" w:ascii="仿宋_GB2312" w:hAnsi="仿宋_GB2312" w:eastAsia="仿宋_GB2312" w:cs="仿宋_GB2312"/>
                <w:sz w:val="24"/>
                <w:szCs w:val="24"/>
                <w:highlight w:val="none"/>
              </w:rPr>
              <w:t>餐饮方面：考察菜单设计的合理性（营养均衡、品种多样、特殊需求满足度）、食品安全保障体系（资质证件、操作流程、卫生标准）的健全性以及供餐效率与服务品质。</w:t>
            </w:r>
          </w:p>
          <w:p w14:paraId="654C140B">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3.</w:t>
            </w:r>
            <w:r>
              <w:rPr>
                <w:rFonts w:hint="default" w:ascii="仿宋_GB2312" w:hAnsi="仿宋_GB2312" w:eastAsia="仿宋_GB2312" w:cs="仿宋_GB2312"/>
                <w:sz w:val="24"/>
                <w:szCs w:val="24"/>
                <w:highlight w:val="none"/>
              </w:rPr>
              <w:t>住宿方面：评判客房条件（舒适度、卫生状况、基本设施）、日常服务质量（响应速度、清洁维护）以及住宿地点到培训场地的便利性和整体安保措施的有效性。</w:t>
            </w:r>
          </w:p>
        </w:tc>
        <w:tc>
          <w:tcPr>
            <w:tcW w:w="1286" w:type="dxa"/>
            <w:vMerge w:val="restart"/>
            <w:shd w:val="clear" w:color="auto" w:fill="auto"/>
            <w:vAlign w:val="center"/>
          </w:tcPr>
          <w:p w14:paraId="6A7E8E94">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现场讲标。围绕投标方基础服务能力与设施条件匹配度、</w:t>
            </w:r>
            <w:r>
              <w:rPr>
                <w:rFonts w:hint="default" w:ascii="仿宋_GB2312" w:hAnsi="仿宋_GB2312" w:eastAsia="仿宋_GB2312" w:cs="仿宋_GB2312"/>
                <w:sz w:val="24"/>
                <w:szCs w:val="24"/>
                <w:highlight w:val="none"/>
              </w:rPr>
              <w:t>综合服务方案与项目管理保障</w:t>
            </w:r>
            <w:r>
              <w:rPr>
                <w:rFonts w:hint="eastAsia" w:ascii="仿宋_GB2312" w:hAnsi="仿宋_GB2312" w:eastAsia="仿宋_GB2312" w:cs="仿宋_GB2312"/>
                <w:sz w:val="24"/>
                <w:szCs w:val="24"/>
                <w:highlight w:val="none"/>
              </w:rPr>
              <w:t>、</w:t>
            </w:r>
            <w:r>
              <w:rPr>
                <w:rFonts w:hint="default" w:ascii="仿宋_GB2312" w:hAnsi="仿宋_GB2312" w:eastAsia="仿宋_GB2312" w:cs="仿宋_GB2312"/>
                <w:sz w:val="24"/>
                <w:szCs w:val="24"/>
                <w:highlight w:val="none"/>
              </w:rPr>
              <w:t>特色增值服务与方案创新性</w:t>
            </w:r>
            <w:r>
              <w:rPr>
                <w:rFonts w:hint="eastAsia" w:ascii="仿宋_GB2312" w:hAnsi="仿宋_GB2312" w:eastAsia="仿宋_GB2312" w:cs="仿宋_GB2312"/>
                <w:sz w:val="24"/>
                <w:szCs w:val="24"/>
                <w:highlight w:val="none"/>
              </w:rPr>
              <w:t>等方面阐述。</w:t>
            </w:r>
          </w:p>
        </w:tc>
        <w:tc>
          <w:tcPr>
            <w:tcW w:w="544" w:type="dxa"/>
            <w:shd w:val="clear" w:color="auto" w:fill="auto"/>
            <w:vAlign w:val="center"/>
          </w:tcPr>
          <w:p w14:paraId="2B4BE3F2">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p>
        </w:tc>
      </w:tr>
      <w:tr w14:paraId="743EA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2" w:hRule="atLeast"/>
          <w:jc w:val="center"/>
        </w:trPr>
        <w:tc>
          <w:tcPr>
            <w:tcW w:w="1134" w:type="dxa"/>
            <w:vMerge w:val="continue"/>
          </w:tcPr>
          <w:p w14:paraId="36765B6A">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p>
        </w:tc>
        <w:tc>
          <w:tcPr>
            <w:tcW w:w="1277" w:type="dxa"/>
            <w:shd w:val="clear" w:color="auto" w:fill="auto"/>
            <w:vAlign w:val="center"/>
          </w:tcPr>
          <w:p w14:paraId="5C665114">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default" w:ascii="仿宋_GB2312" w:hAnsi="仿宋_GB2312" w:eastAsia="仿宋_GB2312" w:cs="仿宋_GB2312"/>
                <w:sz w:val="24"/>
                <w:szCs w:val="24"/>
                <w:highlight w:val="none"/>
              </w:rPr>
              <w:t>综合服务方案与项目管理保障</w:t>
            </w:r>
          </w:p>
          <w:p w14:paraId="593F0C06">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w:t>
            </w:r>
            <w:r>
              <w:rPr>
                <w:rFonts w:hint="eastAsia" w:ascii="仿宋_GB2312" w:hAnsi="仿宋_GB2312" w:eastAsia="仿宋_GB2312" w:cs="仿宋_GB2312"/>
                <w:sz w:val="24"/>
                <w:szCs w:val="24"/>
                <w:highlight w:val="none"/>
                <w:lang w:val="en-US" w:eastAsia="zh-CN"/>
              </w:rPr>
              <w:t>3</w:t>
            </w:r>
            <w:r>
              <w:rPr>
                <w:rFonts w:hint="eastAsia" w:ascii="仿宋_GB2312" w:hAnsi="仿宋_GB2312" w:eastAsia="仿宋_GB2312" w:cs="仿宋_GB2312"/>
                <w:sz w:val="24"/>
                <w:szCs w:val="24"/>
                <w:highlight w:val="none"/>
              </w:rPr>
              <w:t>0 分）</w:t>
            </w:r>
          </w:p>
        </w:tc>
        <w:tc>
          <w:tcPr>
            <w:tcW w:w="5578" w:type="dxa"/>
            <w:shd w:val="clear" w:color="auto" w:fill="auto"/>
            <w:vAlign w:val="center"/>
          </w:tcPr>
          <w:p w14:paraId="37F945E6">
            <w:pPr>
              <w:pageBreakBefore w:val="0"/>
              <w:widowControl/>
              <w:kinsoku/>
              <w:wordWrap/>
              <w:overflowPunct/>
              <w:topLinePunct w:val="0"/>
              <w:bidi w:val="0"/>
              <w:spacing w:line="240" w:lineRule="auto"/>
              <w:jc w:val="left"/>
              <w:textAlignment w:val="auto"/>
              <w:rPr>
                <w:rFonts w:hint="default"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1.</w:t>
            </w:r>
            <w:r>
              <w:rPr>
                <w:rFonts w:hint="default" w:ascii="仿宋_GB2312" w:hAnsi="仿宋_GB2312" w:eastAsia="仿宋_GB2312" w:cs="仿宋_GB2312"/>
                <w:sz w:val="24"/>
                <w:szCs w:val="24"/>
                <w:highlight w:val="none"/>
              </w:rPr>
              <w:t>方案契合度：评估方案是否体现出对本次培训具体目标、学员特点和核心需求的深入理解，以及整体设计的针对性。</w:t>
            </w:r>
          </w:p>
          <w:p w14:paraId="79DDC5B7">
            <w:pPr>
              <w:pageBreakBefore w:val="0"/>
              <w:widowControl/>
              <w:kinsoku/>
              <w:wordWrap/>
              <w:overflowPunct/>
              <w:topLinePunct w:val="0"/>
              <w:bidi w:val="0"/>
              <w:spacing w:line="240" w:lineRule="auto"/>
              <w:jc w:val="left"/>
              <w:textAlignment w:val="auto"/>
              <w:rPr>
                <w:rFonts w:hint="default"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2.</w:t>
            </w:r>
            <w:r>
              <w:rPr>
                <w:rFonts w:hint="default" w:ascii="仿宋_GB2312" w:hAnsi="仿宋_GB2312" w:eastAsia="仿宋_GB2312" w:cs="仿宋_GB2312"/>
                <w:sz w:val="24"/>
                <w:szCs w:val="24"/>
                <w:highlight w:val="none"/>
              </w:rPr>
              <w:t>流程与细节规划：考察从学员报到、入住、餐饮、上课、茶歇到离场等全流程服务衔接的合理性、顺畅度以及关键节点的细节安排（如高峰期应对）。</w:t>
            </w:r>
          </w:p>
          <w:p w14:paraId="4F7995E2">
            <w:pPr>
              <w:pageBreakBefore w:val="0"/>
              <w:widowControl/>
              <w:kinsoku/>
              <w:wordWrap/>
              <w:overflowPunct/>
              <w:topLinePunct w:val="0"/>
              <w:bidi w:val="0"/>
              <w:spacing w:line="240" w:lineRule="auto"/>
              <w:jc w:val="left"/>
              <w:textAlignment w:val="auto"/>
              <w:rPr>
                <w:rFonts w:hint="default"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3.</w:t>
            </w:r>
            <w:r>
              <w:rPr>
                <w:rFonts w:hint="default" w:ascii="仿宋_GB2312" w:hAnsi="仿宋_GB2312" w:eastAsia="仿宋_GB2312" w:cs="仿宋_GB2312"/>
                <w:sz w:val="24"/>
                <w:szCs w:val="24"/>
                <w:highlight w:val="none"/>
              </w:rPr>
              <w:t>团队配置与经验：评价拟投入的服务团队架构、人员数量、关键岗位人员资质以及过往同类培训项目服务经验的匹配度。</w:t>
            </w:r>
          </w:p>
          <w:p w14:paraId="4CAA76AB">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4.</w:t>
            </w:r>
            <w:r>
              <w:rPr>
                <w:rFonts w:hint="default" w:ascii="仿宋_GB2312" w:hAnsi="仿宋_GB2312" w:eastAsia="仿宋_GB2312" w:cs="仿宋_GB2312"/>
                <w:sz w:val="24"/>
                <w:szCs w:val="24"/>
                <w:highlight w:val="none"/>
              </w:rPr>
              <w:t>应急预案：评估对设备故障、食品安全事故、安全事故、学员健康问题等各类突发事件的应急预案是否全面、具体且具备可操作性。</w:t>
            </w:r>
          </w:p>
        </w:tc>
        <w:tc>
          <w:tcPr>
            <w:tcW w:w="1286" w:type="dxa"/>
            <w:vMerge w:val="continue"/>
            <w:shd w:val="clear" w:color="auto" w:fill="auto"/>
            <w:vAlign w:val="center"/>
          </w:tcPr>
          <w:p w14:paraId="1A517329">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p>
        </w:tc>
        <w:tc>
          <w:tcPr>
            <w:tcW w:w="544" w:type="dxa"/>
            <w:shd w:val="clear" w:color="auto" w:fill="auto"/>
            <w:vAlign w:val="center"/>
          </w:tcPr>
          <w:p w14:paraId="427DB639">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p>
        </w:tc>
      </w:tr>
      <w:tr w14:paraId="793D3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3" w:hRule="atLeast"/>
          <w:jc w:val="center"/>
        </w:trPr>
        <w:tc>
          <w:tcPr>
            <w:tcW w:w="1134" w:type="dxa"/>
            <w:vMerge w:val="continue"/>
          </w:tcPr>
          <w:p w14:paraId="0D79484D">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p>
        </w:tc>
        <w:tc>
          <w:tcPr>
            <w:tcW w:w="1277" w:type="dxa"/>
            <w:shd w:val="clear" w:color="auto" w:fill="auto"/>
            <w:vAlign w:val="center"/>
          </w:tcPr>
          <w:p w14:paraId="53C1D8B7">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default" w:ascii="仿宋_GB2312" w:hAnsi="仿宋_GB2312" w:eastAsia="仿宋_GB2312" w:cs="仿宋_GB2312"/>
                <w:sz w:val="24"/>
                <w:szCs w:val="24"/>
                <w:highlight w:val="none"/>
              </w:rPr>
              <w:t>特色增值服务与方案创新性</w:t>
            </w:r>
          </w:p>
          <w:p w14:paraId="70C20800">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rPr>
              <w:t>（</w:t>
            </w:r>
            <w:r>
              <w:rPr>
                <w:rFonts w:hint="eastAsia" w:ascii="仿宋_GB2312" w:hAnsi="仿宋_GB2312" w:eastAsia="仿宋_GB2312" w:cs="仿宋_GB2312"/>
                <w:sz w:val="24"/>
                <w:szCs w:val="24"/>
                <w:highlight w:val="none"/>
                <w:lang w:val="en-US" w:eastAsia="zh-CN"/>
              </w:rPr>
              <w:t>20</w:t>
            </w:r>
            <w:r>
              <w:rPr>
                <w:rFonts w:hint="eastAsia" w:ascii="仿宋_GB2312" w:hAnsi="仿宋_GB2312" w:eastAsia="仿宋_GB2312" w:cs="仿宋_GB2312"/>
                <w:sz w:val="24"/>
                <w:szCs w:val="24"/>
                <w:highlight w:val="none"/>
              </w:rPr>
              <w:t xml:space="preserve"> 分）</w:t>
            </w:r>
          </w:p>
        </w:tc>
        <w:tc>
          <w:tcPr>
            <w:tcW w:w="5578" w:type="dxa"/>
            <w:shd w:val="clear" w:color="auto" w:fill="auto"/>
            <w:vAlign w:val="center"/>
          </w:tcPr>
          <w:p w14:paraId="62E5D577">
            <w:pPr>
              <w:pageBreakBefore w:val="0"/>
              <w:widowControl/>
              <w:kinsoku/>
              <w:wordWrap/>
              <w:overflowPunct/>
              <w:topLinePunct w:val="0"/>
              <w:bidi w:val="0"/>
              <w:spacing w:line="240" w:lineRule="auto"/>
              <w:jc w:val="left"/>
              <w:textAlignment w:val="auto"/>
              <w:rPr>
                <w:rFonts w:hint="default"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1.</w:t>
            </w:r>
            <w:r>
              <w:rPr>
                <w:rFonts w:hint="default" w:ascii="仿宋_GB2312" w:hAnsi="仿宋_GB2312" w:eastAsia="仿宋_GB2312" w:cs="仿宋_GB2312"/>
                <w:sz w:val="24"/>
                <w:szCs w:val="24"/>
                <w:highlight w:val="none"/>
              </w:rPr>
              <w:t>特色增值服务：评估是否主动提供了超出招标基础要求的、能显著提升学员体验或辅助培训效果的特色服务项目（例如：特色主题茶歇、便捷的健身或休闲设施、小型文化活动、定制化欢迎礼遇等）。</w:t>
            </w:r>
          </w:p>
          <w:p w14:paraId="642864E1">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lang w:val="en-US" w:eastAsia="zh-CN"/>
              </w:rPr>
            </w:pPr>
            <w:r>
              <w:rPr>
                <w:rFonts w:hint="eastAsia" w:ascii="仿宋_GB2312" w:hAnsi="仿宋_GB2312" w:eastAsia="仿宋_GB2312" w:cs="仿宋_GB2312"/>
                <w:sz w:val="24"/>
                <w:szCs w:val="24"/>
                <w:highlight w:val="none"/>
                <w:lang w:val="en-US" w:eastAsia="zh-CN"/>
              </w:rPr>
              <w:t>2.</w:t>
            </w:r>
            <w:r>
              <w:rPr>
                <w:rFonts w:hint="default" w:ascii="仿宋_GB2312" w:hAnsi="仿宋_GB2312" w:eastAsia="仿宋_GB2312" w:cs="仿宋_GB2312"/>
                <w:sz w:val="24"/>
                <w:szCs w:val="24"/>
                <w:highlight w:val="none"/>
              </w:rPr>
              <w:t>优化与创新建议：考察供应商是否基于自身优势或经验，对招标需求提出了具有建设性的优化建议或创新点，这些建议或创新点应有助于更好地达成或超越培训目标。</w:t>
            </w:r>
          </w:p>
        </w:tc>
        <w:tc>
          <w:tcPr>
            <w:tcW w:w="1286" w:type="dxa"/>
            <w:vMerge w:val="continue"/>
            <w:shd w:val="clear" w:color="auto" w:fill="auto"/>
            <w:vAlign w:val="center"/>
          </w:tcPr>
          <w:p w14:paraId="1A984F88">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p>
        </w:tc>
        <w:tc>
          <w:tcPr>
            <w:tcW w:w="544" w:type="dxa"/>
            <w:shd w:val="clear" w:color="auto" w:fill="auto"/>
            <w:vAlign w:val="center"/>
          </w:tcPr>
          <w:p w14:paraId="4320EA10">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p>
        </w:tc>
      </w:tr>
    </w:tbl>
    <w:p w14:paraId="1BA6A327">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注1：投标人得分取所有评委对该投标人计分之和的算术平均值。</w:t>
      </w:r>
    </w:p>
    <w:p w14:paraId="3F942E65">
      <w:pPr>
        <w:pStyle w:val="10"/>
        <w:pageBreakBefore w:val="0"/>
        <w:kinsoku/>
        <w:wordWrap/>
        <w:overflowPunct/>
        <w:topLinePunct w:val="0"/>
        <w:bidi w:val="0"/>
        <w:spacing w:line="520" w:lineRule="exact"/>
        <w:ind w:firstLine="600" w:firstLineChars="200"/>
        <w:textAlignment w:val="auto"/>
        <w:rPr>
          <w:rFonts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注2：最终得分小数点后保留2位有效数字。</w:t>
      </w:r>
    </w:p>
    <w:p w14:paraId="427637B7">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注3：对于未能提供承诺书证明材料的，一票否决。</w:t>
      </w:r>
    </w:p>
    <w:p w14:paraId="126C0419">
      <w:pPr>
        <w:pStyle w:val="10"/>
        <w:pageBreakBefore w:val="0"/>
        <w:kinsoku/>
        <w:wordWrap/>
        <w:overflowPunct/>
        <w:topLinePunct w:val="0"/>
        <w:bidi w:val="0"/>
        <w:spacing w:line="520" w:lineRule="exact"/>
        <w:ind w:firstLine="600" w:firstLineChars="200"/>
        <w:textAlignment w:val="auto"/>
        <w:outlineLvl w:val="2"/>
        <w:rPr>
          <w:rFonts w:hint="eastAsia" w:ascii="仿宋_GB2312" w:hAnsi="仿宋" w:eastAsia="仿宋_GB2312" w:cs="Times New Roman"/>
          <w:sz w:val="30"/>
          <w:szCs w:val="30"/>
          <w:highlight w:val="none"/>
        </w:rPr>
      </w:pPr>
      <w:r>
        <w:rPr>
          <w:rFonts w:hint="eastAsia" w:ascii="仿宋_GB2312" w:hAnsi="仿宋" w:eastAsia="仿宋_GB2312" w:cs="Times New Roman"/>
          <w:sz w:val="30"/>
          <w:szCs w:val="30"/>
          <w:highlight w:val="none"/>
        </w:rPr>
        <w:t>（2）商务标评分标准</w:t>
      </w:r>
    </w:p>
    <w:tbl>
      <w:tblPr>
        <w:tblStyle w:val="20"/>
        <w:tblW w:w="96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5"/>
        <w:gridCol w:w="1104"/>
        <w:gridCol w:w="6815"/>
        <w:gridCol w:w="695"/>
      </w:tblGrid>
      <w:tr w14:paraId="56C6B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1085" w:type="dxa"/>
            <w:vAlign w:val="center"/>
          </w:tcPr>
          <w:p w14:paraId="3AD9F88C">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项目</w:t>
            </w:r>
          </w:p>
        </w:tc>
        <w:tc>
          <w:tcPr>
            <w:tcW w:w="1104" w:type="dxa"/>
            <w:shd w:val="clear" w:color="auto" w:fill="auto"/>
            <w:vAlign w:val="center"/>
          </w:tcPr>
          <w:p w14:paraId="46D55A34">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细则</w:t>
            </w:r>
          </w:p>
        </w:tc>
        <w:tc>
          <w:tcPr>
            <w:tcW w:w="6815" w:type="dxa"/>
            <w:shd w:val="clear" w:color="auto" w:fill="auto"/>
            <w:vAlign w:val="center"/>
          </w:tcPr>
          <w:p w14:paraId="562D77EC">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商务标评分标准</w:t>
            </w:r>
          </w:p>
        </w:tc>
        <w:tc>
          <w:tcPr>
            <w:tcW w:w="695" w:type="dxa"/>
            <w:shd w:val="clear" w:color="auto" w:fill="auto"/>
            <w:vAlign w:val="center"/>
          </w:tcPr>
          <w:p w14:paraId="22A82BFA">
            <w:pPr>
              <w:pageBreakBefore w:val="0"/>
              <w:widowControl/>
              <w:kinsoku/>
              <w:wordWrap/>
              <w:overflowPunct/>
              <w:topLinePunct w:val="0"/>
              <w:bidi w:val="0"/>
              <w:spacing w:line="240" w:lineRule="auto"/>
              <w:jc w:val="center"/>
              <w:textAlignment w:val="auto"/>
              <w:rPr>
                <w:rFonts w:hint="eastAsia" w:ascii="黑体" w:hAnsi="黑体" w:eastAsia="黑体" w:cs="黑体"/>
                <w:b/>
                <w:bCs/>
                <w:color w:val="000000"/>
                <w:kern w:val="0"/>
                <w:sz w:val="24"/>
                <w:szCs w:val="24"/>
                <w:highlight w:val="none"/>
                <w:lang w:bidi="ar"/>
              </w:rPr>
            </w:pPr>
            <w:r>
              <w:rPr>
                <w:rFonts w:hint="eastAsia" w:ascii="黑体" w:hAnsi="黑体" w:eastAsia="黑体" w:cs="黑体"/>
                <w:b/>
                <w:bCs/>
                <w:color w:val="000000"/>
                <w:kern w:val="0"/>
                <w:sz w:val="24"/>
                <w:szCs w:val="24"/>
                <w:highlight w:val="none"/>
                <w:lang w:bidi="ar"/>
              </w:rPr>
              <w:t>得分</w:t>
            </w:r>
          </w:p>
        </w:tc>
      </w:tr>
      <w:tr w14:paraId="33A42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jc w:val="center"/>
        </w:trPr>
        <w:tc>
          <w:tcPr>
            <w:tcW w:w="1085" w:type="dxa"/>
            <w:vAlign w:val="center"/>
          </w:tcPr>
          <w:p w14:paraId="58981C5B">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商务标</w:t>
            </w:r>
          </w:p>
          <w:p w14:paraId="0F02BFCB">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（100分）</w:t>
            </w:r>
          </w:p>
        </w:tc>
        <w:tc>
          <w:tcPr>
            <w:tcW w:w="1104" w:type="dxa"/>
            <w:shd w:val="clear" w:color="auto" w:fill="auto"/>
            <w:vAlign w:val="center"/>
          </w:tcPr>
          <w:p w14:paraId="6DF31DB2">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商务标</w:t>
            </w:r>
          </w:p>
          <w:p w14:paraId="1BDD71BC">
            <w:pPr>
              <w:pageBreakBefore w:val="0"/>
              <w:widowControl/>
              <w:kinsoku/>
              <w:wordWrap/>
              <w:overflowPunct/>
              <w:topLinePunct w:val="0"/>
              <w:bidi w:val="0"/>
              <w:spacing w:line="240" w:lineRule="auto"/>
              <w:jc w:val="center"/>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val="en-US" w:eastAsia="zh-CN"/>
              </w:rPr>
              <w:t>报价</w:t>
            </w:r>
          </w:p>
        </w:tc>
        <w:tc>
          <w:tcPr>
            <w:tcW w:w="6815" w:type="dxa"/>
            <w:shd w:val="clear" w:color="auto" w:fill="auto"/>
            <w:vAlign w:val="center"/>
          </w:tcPr>
          <w:p w14:paraId="33FA6750">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 xml:space="preserve">各报价采用低价优先法计算，各方案以满足招标文件要求且报价最低的投标报价为评标基准价，其价格分为满分100分，其他供应商的价格分按照下列公式计算：投标报价得分=（评标基准价/投标报价）×100分。 </w:t>
            </w:r>
          </w:p>
        </w:tc>
        <w:tc>
          <w:tcPr>
            <w:tcW w:w="695" w:type="dxa"/>
            <w:shd w:val="clear" w:color="auto" w:fill="auto"/>
            <w:vAlign w:val="center"/>
          </w:tcPr>
          <w:p w14:paraId="7F409F12">
            <w:pPr>
              <w:pageBreakBefore w:val="0"/>
              <w:widowControl/>
              <w:kinsoku/>
              <w:wordWrap/>
              <w:overflowPunct/>
              <w:topLinePunct w:val="0"/>
              <w:bidi w:val="0"/>
              <w:spacing w:line="240" w:lineRule="auto"/>
              <w:jc w:val="left"/>
              <w:textAlignment w:val="auto"/>
              <w:rPr>
                <w:rFonts w:hint="eastAsia" w:ascii="仿宋_GB2312" w:hAnsi="仿宋_GB2312" w:eastAsia="仿宋_GB2312" w:cs="仿宋_GB2312"/>
                <w:sz w:val="24"/>
                <w:szCs w:val="24"/>
                <w:highlight w:val="none"/>
              </w:rPr>
            </w:pPr>
          </w:p>
        </w:tc>
      </w:tr>
    </w:tbl>
    <w:p w14:paraId="5A33A293">
      <w:pPr>
        <w:pageBreakBefore w:val="0"/>
        <w:kinsoku/>
        <w:wordWrap/>
        <w:overflowPunct/>
        <w:topLinePunct w:val="0"/>
        <w:bidi w:val="0"/>
        <w:spacing w:line="520" w:lineRule="exact"/>
        <w:ind w:firstLine="600" w:firstLineChars="200"/>
        <w:textAlignment w:val="auto"/>
        <w:rPr>
          <w:rFonts w:ascii="仿宋_GB2312" w:hAnsi="仿宋" w:eastAsia="仿宋_GB2312"/>
          <w:color w:val="000000" w:themeColor="text1"/>
          <w:sz w:val="30"/>
          <w:szCs w:val="30"/>
          <w:highlight w:val="none"/>
          <w14:textFill>
            <w14:solidFill>
              <w14:schemeClr w14:val="tx1"/>
            </w14:solidFill>
          </w14:textFill>
        </w:rPr>
      </w:pPr>
      <w:r>
        <w:rPr>
          <w:rFonts w:hint="eastAsia" w:ascii="仿宋_GB2312" w:hAnsi="仿宋" w:eastAsia="仿宋_GB2312"/>
          <w:sz w:val="30"/>
          <w:szCs w:val="30"/>
          <w:highlight w:val="none"/>
          <w:lang w:val="en-US" w:eastAsia="zh-CN"/>
        </w:rPr>
        <w:t>7</w:t>
      </w:r>
      <w:r>
        <w:rPr>
          <w:rFonts w:hint="eastAsia" w:ascii="仿宋_GB2312" w:hAnsi="仿宋" w:eastAsia="仿宋_GB2312"/>
          <w:sz w:val="30"/>
          <w:szCs w:val="30"/>
          <w:highlight w:val="none"/>
        </w:rPr>
        <w:t>.2对于未能提供承诺书证明材料的，一票否决。</w:t>
      </w:r>
      <w:r>
        <w:rPr>
          <w:rFonts w:hint="eastAsia" w:ascii="仿宋_GB2312" w:hAnsi="仿宋" w:eastAsia="仿宋_GB2312"/>
          <w:color w:val="000000" w:themeColor="text1"/>
          <w:sz w:val="30"/>
          <w:szCs w:val="30"/>
          <w:highlight w:val="none"/>
          <w14:textFill>
            <w14:solidFill>
              <w14:schemeClr w14:val="tx1"/>
            </w14:solidFill>
          </w14:textFill>
        </w:rPr>
        <w:t>投标文件未密封或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42733B17">
      <w:pPr>
        <w:pageBreakBefore w:val="0"/>
        <w:kinsoku/>
        <w:wordWrap/>
        <w:overflowPunct/>
        <w:topLinePunct w:val="0"/>
        <w:bidi w:val="0"/>
        <w:spacing w:line="520" w:lineRule="exact"/>
        <w:ind w:firstLine="602" w:firstLineChars="200"/>
        <w:jc w:val="left"/>
        <w:textAlignment w:val="auto"/>
        <w:outlineLvl w:val="0"/>
        <w:rPr>
          <w:rFonts w:ascii="黑体" w:hAnsi="黑体" w:eastAsia="黑体" w:cs="黑体"/>
          <w:b/>
          <w:bCs/>
          <w:sz w:val="30"/>
          <w:szCs w:val="30"/>
          <w:highlight w:val="none"/>
        </w:rPr>
      </w:pPr>
      <w:r>
        <w:rPr>
          <w:rFonts w:hint="eastAsia" w:ascii="黑体" w:hAnsi="黑体" w:eastAsia="黑体" w:cs="黑体"/>
          <w:b/>
          <w:bCs/>
          <w:sz w:val="30"/>
          <w:szCs w:val="30"/>
          <w:highlight w:val="none"/>
        </w:rPr>
        <w:t>四、投标文件</w:t>
      </w:r>
      <w:bookmarkEnd w:id="5"/>
    </w:p>
    <w:p w14:paraId="4625C685">
      <w:pPr>
        <w:pageBreakBefore w:val="0"/>
        <w:kinsoku/>
        <w:wordWrap/>
        <w:overflowPunct/>
        <w:topLinePunct w:val="0"/>
        <w:bidi w:val="0"/>
        <w:spacing w:line="520" w:lineRule="exact"/>
        <w:ind w:firstLine="600" w:firstLineChars="200"/>
        <w:jc w:val="left"/>
        <w:textAlignment w:val="auto"/>
        <w:outlineLvl w:val="1"/>
        <w:rPr>
          <w:rFonts w:ascii="仿宋_GB2312" w:hAnsi="仿宋" w:eastAsia="仿宋_GB2312"/>
          <w:sz w:val="30"/>
          <w:szCs w:val="30"/>
          <w:highlight w:val="none"/>
        </w:rPr>
      </w:pPr>
      <w:r>
        <w:rPr>
          <w:rFonts w:hint="eastAsia" w:ascii="仿宋_GB2312" w:hAnsi="仿宋" w:eastAsia="仿宋_GB2312"/>
          <w:sz w:val="30"/>
          <w:szCs w:val="30"/>
          <w:highlight w:val="none"/>
        </w:rPr>
        <w:t>1.投标文件组成</w:t>
      </w:r>
    </w:p>
    <w:p w14:paraId="123CE49E">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投标人的投标文件由资格证明文件</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rPr>
        <w:t>投标文件</w:t>
      </w:r>
      <w:r>
        <w:rPr>
          <w:rFonts w:hint="eastAsia" w:ascii="仿宋_GB2312" w:hAnsi="仿宋" w:eastAsia="仿宋_GB2312"/>
          <w:sz w:val="30"/>
          <w:szCs w:val="30"/>
          <w:highlight w:val="none"/>
          <w:lang w:val="en-US" w:eastAsia="zh-CN"/>
        </w:rPr>
        <w:t>技术</w:t>
      </w:r>
      <w:r>
        <w:rPr>
          <w:rFonts w:hint="eastAsia" w:ascii="仿宋_GB2312" w:hAnsi="仿宋" w:eastAsia="仿宋_GB2312"/>
          <w:sz w:val="30"/>
          <w:szCs w:val="30"/>
          <w:highlight w:val="none"/>
        </w:rPr>
        <w:t>部分、投标文件商务部分共</w:t>
      </w:r>
      <w:r>
        <w:rPr>
          <w:rFonts w:hint="eastAsia" w:ascii="仿宋_GB2312" w:hAnsi="仿宋" w:eastAsia="仿宋_GB2312"/>
          <w:sz w:val="30"/>
          <w:szCs w:val="30"/>
          <w:highlight w:val="none"/>
          <w:lang w:val="en-US" w:eastAsia="zh-CN"/>
        </w:rPr>
        <w:t>三</w:t>
      </w:r>
      <w:r>
        <w:rPr>
          <w:rFonts w:hint="eastAsia" w:ascii="仿宋_GB2312" w:hAnsi="仿宋" w:eastAsia="仿宋_GB2312"/>
          <w:sz w:val="30"/>
          <w:szCs w:val="30"/>
          <w:highlight w:val="none"/>
        </w:rPr>
        <w:t>部分构成。</w:t>
      </w:r>
    </w:p>
    <w:p w14:paraId="5329E6AB">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注1：招标文件给定格式的按给定的格式填写，未给定格式的，由投标人自行编制，但需包含以下内容。</w:t>
      </w:r>
    </w:p>
    <w:p w14:paraId="22694CA6">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注2：以下需（可）提供的招标文件均需加盖公章。</w:t>
      </w:r>
    </w:p>
    <w:p w14:paraId="2C767009">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注3：为提高评标效率，请投标人按照所列的资料清单内容及顺序编制投标文件，如投标人未按照以下内容及顺序编制投标文件，可能会影响得分，请各投标单位务必注意。</w:t>
      </w:r>
    </w:p>
    <w:p w14:paraId="7B21CED5">
      <w:pPr>
        <w:pageBreakBefore w:val="0"/>
        <w:kinsoku/>
        <w:wordWrap/>
        <w:overflowPunct/>
        <w:topLinePunct w:val="0"/>
        <w:bidi w:val="0"/>
        <w:spacing w:line="520" w:lineRule="exact"/>
        <w:ind w:firstLine="602" w:firstLineChars="200"/>
        <w:jc w:val="left"/>
        <w:textAlignment w:val="auto"/>
        <w:outlineLvl w:val="2"/>
        <w:rPr>
          <w:rFonts w:ascii="仿宋_GB2312" w:hAnsi="仿宋" w:eastAsia="仿宋_GB2312"/>
          <w:b/>
          <w:bCs/>
          <w:sz w:val="30"/>
          <w:szCs w:val="30"/>
          <w:highlight w:val="none"/>
        </w:rPr>
      </w:pPr>
      <w:bookmarkStart w:id="6" w:name="_Toc22774"/>
      <w:r>
        <w:rPr>
          <w:rFonts w:hint="eastAsia" w:ascii="仿宋_GB2312" w:hAnsi="仿宋" w:eastAsia="仿宋_GB2312"/>
          <w:b/>
          <w:bCs/>
          <w:sz w:val="30"/>
          <w:szCs w:val="30"/>
          <w:highlight w:val="none"/>
        </w:rPr>
        <w:t>1.1资格证明文件包括：</w:t>
      </w:r>
    </w:p>
    <w:p w14:paraId="4411CFD1">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（1）营业执照等相关经营资质复印件；</w:t>
      </w:r>
    </w:p>
    <w:p w14:paraId="6FA4914F">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（2）法定代表人或授权代理人身份证复印件和法定代表人授权委托书；</w:t>
      </w:r>
    </w:p>
    <w:p w14:paraId="36993E34">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（3）投标人基本情况表；</w:t>
      </w:r>
    </w:p>
    <w:p w14:paraId="11584B05">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（4）服务承诺函；</w:t>
      </w:r>
    </w:p>
    <w:p w14:paraId="394E4DE6">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w:t>
      </w:r>
      <w:r>
        <w:rPr>
          <w:rFonts w:hint="eastAsia" w:ascii="仿宋_GB2312" w:hAnsi="仿宋" w:eastAsia="仿宋_GB2312"/>
          <w:sz w:val="30"/>
          <w:szCs w:val="30"/>
          <w:highlight w:val="none"/>
          <w:lang w:eastAsia="zh-CN"/>
        </w:rPr>
        <w:t>，</w:t>
      </w:r>
      <w:r>
        <w:rPr>
          <w:rFonts w:hint="eastAsia" w:ascii="仿宋_GB2312" w:hAnsi="仿宋" w:eastAsia="仿宋_GB2312"/>
          <w:sz w:val="30"/>
          <w:szCs w:val="30"/>
          <w:highlight w:val="none"/>
        </w:rPr>
        <w:t>至少一项）；</w:t>
      </w:r>
    </w:p>
    <w:p w14:paraId="7A7E60FB">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（6）投标人的直接或间接股东、法定代表人、董事、监事、高管非重汽员工及亲属的证明；</w:t>
      </w:r>
    </w:p>
    <w:p w14:paraId="1115C487">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（7）企业最近半年完税证明、信用证明材料（中国人民银行信用代码证+征信报告）；</w:t>
      </w:r>
    </w:p>
    <w:p w14:paraId="18B6EECC">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 xml:space="preserve">（8）年度纳税信用评价信息（可从电子税务局查询截图，需加盖公章）； </w:t>
      </w:r>
    </w:p>
    <w:p w14:paraId="6A4E996E">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（9）企业对外担保说明（写明贵单位对外有无对外担保和质押业务，需加盖公章）;</w:t>
      </w:r>
    </w:p>
    <w:p w14:paraId="16700A5A">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（10</w:t>
      </w:r>
      <w:r>
        <w:rPr>
          <w:rFonts w:ascii="仿宋_GB2312" w:hAnsi="仿宋" w:eastAsia="仿宋_GB2312"/>
          <w:sz w:val="30"/>
          <w:szCs w:val="30"/>
          <w:highlight w:val="none"/>
        </w:rPr>
        <w:t>）</w:t>
      </w:r>
      <w:r>
        <w:rPr>
          <w:rFonts w:hint="eastAsia" w:ascii="仿宋_GB2312" w:hAnsi="仿宋" w:eastAsia="仿宋_GB2312"/>
          <w:sz w:val="30"/>
          <w:szCs w:val="30"/>
          <w:highlight w:val="none"/>
        </w:rPr>
        <w:t>经会计师事务所审计且出具无保留意见的</w:t>
      </w:r>
      <w:r>
        <w:rPr>
          <w:rFonts w:hint="eastAsia" w:ascii="黑体" w:hAnsi="黑体" w:eastAsia="黑体" w:cs="黑体"/>
          <w:b/>
          <w:bCs/>
          <w:sz w:val="30"/>
          <w:szCs w:val="30"/>
          <w:highlight w:val="none"/>
        </w:rPr>
        <w:t>近三年的财务审计报告，并加盖公章</w:t>
      </w:r>
      <w:r>
        <w:rPr>
          <w:rFonts w:hint="eastAsia" w:ascii="仿宋_GB2312" w:hAnsi="仿宋" w:eastAsia="仿宋_GB2312"/>
          <w:sz w:val="30"/>
          <w:szCs w:val="30"/>
          <w:highlight w:val="none"/>
        </w:rPr>
        <w:t>，包括但不限于报告页、经审计的资产负债表、利润表、现金流量表及报表附注;</w:t>
      </w:r>
    </w:p>
    <w:p w14:paraId="73A9C347">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如投标人公司没有经审计的财务报告，</w:t>
      </w:r>
      <w:r>
        <w:rPr>
          <w:rFonts w:hint="eastAsia" w:ascii="黑体" w:hAnsi="黑体" w:eastAsia="黑体" w:cs="黑体"/>
          <w:b/>
          <w:bCs/>
          <w:sz w:val="30"/>
          <w:szCs w:val="30"/>
          <w:highlight w:val="none"/>
        </w:rPr>
        <w:t>可提供加盖公章的近三年财务报表</w:t>
      </w:r>
      <w:r>
        <w:rPr>
          <w:rFonts w:hint="eastAsia" w:ascii="仿宋_GB2312" w:hAnsi="仿宋" w:eastAsia="仿宋_GB2312"/>
          <w:sz w:val="30"/>
          <w:szCs w:val="30"/>
          <w:highlight w:val="none"/>
        </w:rPr>
        <w:t>，包括但不限于资产负债表、利润表、现金流量表。应提供中文版本的审计报告或财务报表；</w:t>
      </w:r>
    </w:p>
    <w:p w14:paraId="07E7398A">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（11）投标人认为对其投标有利的其他资料；</w:t>
      </w:r>
    </w:p>
    <w:p w14:paraId="357BEFB3">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（12）法律法规对合格投标人的其他要求、规定。</w:t>
      </w:r>
    </w:p>
    <w:p w14:paraId="0C71F0DD">
      <w:pPr>
        <w:pageBreakBefore w:val="0"/>
        <w:kinsoku/>
        <w:wordWrap/>
        <w:overflowPunct/>
        <w:topLinePunct w:val="0"/>
        <w:bidi w:val="0"/>
        <w:spacing w:line="520" w:lineRule="exact"/>
        <w:ind w:firstLine="602" w:firstLineChars="200"/>
        <w:jc w:val="left"/>
        <w:textAlignment w:val="auto"/>
        <w:outlineLvl w:val="2"/>
        <w:rPr>
          <w:rFonts w:ascii="仿宋_GB2312" w:hAnsi="仿宋" w:eastAsia="仿宋_GB2312"/>
          <w:b/>
          <w:bCs/>
          <w:sz w:val="30"/>
          <w:szCs w:val="30"/>
          <w:highlight w:val="none"/>
        </w:rPr>
      </w:pPr>
      <w:r>
        <w:rPr>
          <w:rFonts w:hint="eastAsia" w:ascii="仿宋_GB2312" w:hAnsi="仿宋" w:eastAsia="仿宋_GB2312"/>
          <w:b/>
          <w:bCs/>
          <w:sz w:val="30"/>
          <w:szCs w:val="30"/>
          <w:highlight w:val="none"/>
        </w:rPr>
        <w:t>1.2技术部分文件包括：</w:t>
      </w:r>
    </w:p>
    <w:p w14:paraId="61D1E25B">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（1）培训项目实施方案；（需承诺项目需求人员到位时间）</w:t>
      </w:r>
    </w:p>
    <w:p w14:paraId="02E8195E">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（2）相关培训项目案例；</w:t>
      </w:r>
    </w:p>
    <w:p w14:paraId="5D49842A">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（3）投标人认为对其投标有利的其他资料。</w:t>
      </w:r>
    </w:p>
    <w:p w14:paraId="4C22E91F">
      <w:pPr>
        <w:pageBreakBefore w:val="0"/>
        <w:kinsoku/>
        <w:wordWrap/>
        <w:overflowPunct/>
        <w:topLinePunct w:val="0"/>
        <w:bidi w:val="0"/>
        <w:spacing w:line="520" w:lineRule="exact"/>
        <w:ind w:firstLine="602" w:firstLineChars="200"/>
        <w:jc w:val="left"/>
        <w:textAlignment w:val="auto"/>
        <w:outlineLvl w:val="2"/>
        <w:rPr>
          <w:rFonts w:ascii="仿宋_GB2312" w:hAnsi="仿宋" w:eastAsia="仿宋_GB2312"/>
          <w:b/>
          <w:bCs/>
          <w:sz w:val="30"/>
          <w:szCs w:val="30"/>
          <w:highlight w:val="none"/>
        </w:rPr>
      </w:pPr>
      <w:r>
        <w:rPr>
          <w:rFonts w:hint="eastAsia" w:ascii="仿宋_GB2312" w:hAnsi="仿宋" w:eastAsia="仿宋_GB2312"/>
          <w:b/>
          <w:bCs/>
          <w:sz w:val="30"/>
          <w:szCs w:val="30"/>
          <w:highlight w:val="none"/>
        </w:rPr>
        <w:t>1.3商务部分文件包括：</w:t>
      </w:r>
    </w:p>
    <w:p w14:paraId="4C6C97A0">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（1）投标函；</w:t>
      </w:r>
    </w:p>
    <w:p w14:paraId="20E3AE49">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（2）投标报价明细表；</w:t>
      </w:r>
    </w:p>
    <w:p w14:paraId="6150AB80">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（3）经营业绩一览表；</w:t>
      </w:r>
    </w:p>
    <w:p w14:paraId="39A0DFEB">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（4）对本项目招标文件及“合同条款”的认同说明。</w:t>
      </w:r>
    </w:p>
    <w:p w14:paraId="5B593E66">
      <w:pPr>
        <w:pageBreakBefore w:val="0"/>
        <w:kinsoku/>
        <w:wordWrap/>
        <w:overflowPunct/>
        <w:topLinePunct w:val="0"/>
        <w:bidi w:val="0"/>
        <w:spacing w:line="520" w:lineRule="exact"/>
        <w:ind w:firstLine="600" w:firstLineChars="200"/>
        <w:jc w:val="left"/>
        <w:textAlignment w:val="auto"/>
        <w:outlineLvl w:val="1"/>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2.投标文件的装订</w:t>
      </w:r>
    </w:p>
    <w:p w14:paraId="19200321">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投标人必须将投标文件按照投标文件组成的顺序装订</w:t>
      </w:r>
      <w:r>
        <w:rPr>
          <w:rFonts w:hint="eastAsia" w:ascii="仿宋_GB2312" w:hAnsi="仿宋_GB2312" w:eastAsia="仿宋_GB2312" w:cs="仿宋_GB2312"/>
          <w:sz w:val="30"/>
          <w:szCs w:val="30"/>
          <w:highlight w:val="none"/>
          <w:lang w:val="en-US" w:eastAsia="zh-CN"/>
        </w:rPr>
        <w:t>成</w:t>
      </w:r>
      <w:r>
        <w:rPr>
          <w:rFonts w:hint="eastAsia" w:ascii="仿宋_GB2312" w:hAnsi="仿宋_GB2312" w:eastAsia="仿宋_GB2312" w:cs="仿宋_GB2312"/>
          <w:sz w:val="30"/>
          <w:szCs w:val="30"/>
          <w:highlight w:val="none"/>
        </w:rPr>
        <w:t>册，</w:t>
      </w:r>
      <w:r>
        <w:rPr>
          <w:rFonts w:hint="eastAsia" w:ascii="仿宋_GB2312" w:hAnsi="仿宋_GB2312" w:eastAsia="仿宋_GB2312" w:cs="仿宋_GB2312"/>
          <w:sz w:val="30"/>
          <w:szCs w:val="30"/>
          <w:highlight w:val="none"/>
          <w:lang w:val="en-US" w:eastAsia="zh-CN"/>
        </w:rPr>
        <w:t>技术标和商务标文件分开封装</w:t>
      </w:r>
      <w:r>
        <w:rPr>
          <w:rFonts w:hint="eastAsia" w:ascii="仿宋_GB2312" w:hAnsi="仿宋_GB2312" w:eastAsia="仿宋_GB2312" w:cs="仿宋_GB2312"/>
          <w:sz w:val="30"/>
          <w:szCs w:val="30"/>
          <w:highlight w:val="none"/>
        </w:rPr>
        <w:t>。</w:t>
      </w:r>
      <w:r>
        <w:rPr>
          <w:rFonts w:hint="eastAsia" w:ascii="仿宋_GB2312" w:hAnsi="仿宋_GB2312" w:eastAsia="仿宋_GB2312" w:cs="仿宋_GB2312"/>
          <w:sz w:val="30"/>
          <w:szCs w:val="30"/>
          <w:highlight w:val="none"/>
          <w:lang w:val="en-US" w:eastAsia="zh-CN"/>
        </w:rPr>
        <w:t>技术标和商务标文件各</w:t>
      </w:r>
      <w:r>
        <w:rPr>
          <w:rFonts w:hint="eastAsia" w:ascii="仿宋_GB2312" w:hAnsi="仿宋_GB2312" w:eastAsia="仿宋_GB2312" w:cs="仿宋_GB2312"/>
          <w:sz w:val="30"/>
          <w:szCs w:val="30"/>
          <w:highlight w:val="none"/>
        </w:rPr>
        <w:t>一式</w:t>
      </w:r>
      <w:r>
        <w:rPr>
          <w:rFonts w:hint="eastAsia" w:ascii="仿宋_GB2312" w:hAnsi="仿宋_GB2312" w:eastAsia="仿宋_GB2312" w:cs="仿宋_GB2312"/>
          <w:sz w:val="30"/>
          <w:szCs w:val="30"/>
          <w:highlight w:val="none"/>
          <w:lang w:val="en-US" w:eastAsia="zh-CN"/>
        </w:rPr>
        <w:t>5</w:t>
      </w:r>
      <w:r>
        <w:rPr>
          <w:rFonts w:hint="eastAsia" w:ascii="仿宋_GB2312" w:hAnsi="仿宋_GB2312" w:eastAsia="仿宋_GB2312" w:cs="仿宋_GB2312"/>
          <w:sz w:val="30"/>
          <w:szCs w:val="30"/>
          <w:highlight w:val="none"/>
        </w:rPr>
        <w:t>份，其中正本</w:t>
      </w:r>
      <w:r>
        <w:rPr>
          <w:rFonts w:hint="eastAsia" w:ascii="仿宋_GB2312" w:hAnsi="仿宋_GB2312" w:eastAsia="仿宋_GB2312" w:cs="仿宋_GB2312"/>
          <w:sz w:val="30"/>
          <w:szCs w:val="30"/>
          <w:highlight w:val="none"/>
          <w:lang w:val="en-US" w:eastAsia="zh-CN"/>
        </w:rPr>
        <w:t>1</w:t>
      </w:r>
      <w:r>
        <w:rPr>
          <w:rFonts w:hint="eastAsia" w:ascii="仿宋_GB2312" w:hAnsi="仿宋_GB2312" w:eastAsia="仿宋_GB2312" w:cs="仿宋_GB2312"/>
          <w:sz w:val="30"/>
          <w:szCs w:val="30"/>
          <w:highlight w:val="none"/>
        </w:rPr>
        <w:t>份，副本</w:t>
      </w:r>
      <w:r>
        <w:rPr>
          <w:rFonts w:hint="eastAsia" w:ascii="仿宋_GB2312" w:hAnsi="仿宋_GB2312" w:eastAsia="仿宋_GB2312" w:cs="仿宋_GB2312"/>
          <w:sz w:val="30"/>
          <w:szCs w:val="30"/>
          <w:highlight w:val="none"/>
          <w:lang w:val="en-US" w:eastAsia="zh-CN"/>
        </w:rPr>
        <w:t>4</w:t>
      </w:r>
      <w:r>
        <w:rPr>
          <w:rFonts w:hint="eastAsia" w:ascii="仿宋_GB2312" w:hAnsi="仿宋_GB2312" w:eastAsia="仿宋_GB2312" w:cs="仿宋_GB2312"/>
          <w:sz w:val="30"/>
          <w:szCs w:val="30"/>
          <w:highlight w:val="none"/>
        </w:rPr>
        <w:t>份，并提供扫描或电子版上传e采通系统。</w:t>
      </w:r>
    </w:p>
    <w:p w14:paraId="7D9691CF">
      <w:pPr>
        <w:pageBreakBefore w:val="0"/>
        <w:kinsoku/>
        <w:wordWrap/>
        <w:overflowPunct/>
        <w:topLinePunct w:val="0"/>
        <w:bidi w:val="0"/>
        <w:spacing w:line="520" w:lineRule="exact"/>
        <w:ind w:firstLine="600" w:firstLineChars="200"/>
        <w:jc w:val="left"/>
        <w:textAlignment w:val="auto"/>
        <w:outlineLvl w:val="1"/>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3.报价注意事项</w:t>
      </w:r>
    </w:p>
    <w:p w14:paraId="297B0AB6">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3.1投标人要按投标规格名称、投标报价明细表（统一格式）的内容填写报价及其他事项，并由法人代表或授权代表签署。</w:t>
      </w:r>
    </w:p>
    <w:p w14:paraId="1B6F2C58">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3.2大写金额和小写金额不一致时，以大写金额为准。</w:t>
      </w:r>
    </w:p>
    <w:p w14:paraId="210B0137">
      <w:pPr>
        <w:pageBreakBefore w:val="0"/>
        <w:kinsoku/>
        <w:wordWrap/>
        <w:overflowPunct/>
        <w:topLinePunct w:val="0"/>
        <w:bidi w:val="0"/>
        <w:spacing w:line="520" w:lineRule="exact"/>
        <w:ind w:firstLine="600" w:firstLineChars="200"/>
        <w:jc w:val="left"/>
        <w:textAlignment w:val="auto"/>
        <w:outlineLvl w:val="1"/>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4.投标文件签署</w:t>
      </w:r>
    </w:p>
    <w:p w14:paraId="7DE4BD5D">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4.1投标文件应加盖投标人单位公章（不得使用其他形式如带有“专用章”等字样的印章）并经法定代表人或其委托代理人签字。</w:t>
      </w:r>
    </w:p>
    <w:p w14:paraId="1949D55A">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4.2本招标文件提供的投标文件式样中，标注有盖公章、签字之处，应有投标人的盖章、委托代理人的签字或法定代表人的签字。由委托代理人签字的投标资格证明文件中须附授权委托书。</w:t>
      </w:r>
    </w:p>
    <w:p w14:paraId="3FB30A6B">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4.3签字须使用黑色或蓝色不可退色签字笔。</w:t>
      </w:r>
    </w:p>
    <w:p w14:paraId="4ED3C52D">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注：投标人代表必须按招标文件的规定签署投标文件，否则，其投标文件按无效投标处理。</w:t>
      </w:r>
    </w:p>
    <w:p w14:paraId="22E0ED58">
      <w:pPr>
        <w:pageBreakBefore w:val="0"/>
        <w:kinsoku/>
        <w:wordWrap/>
        <w:overflowPunct/>
        <w:topLinePunct w:val="0"/>
        <w:bidi w:val="0"/>
        <w:spacing w:line="520" w:lineRule="exact"/>
        <w:ind w:firstLine="602" w:firstLineChars="200"/>
        <w:jc w:val="left"/>
        <w:textAlignment w:val="auto"/>
        <w:outlineLvl w:val="0"/>
        <w:rPr>
          <w:rFonts w:ascii="黑体" w:hAnsi="黑体" w:eastAsia="黑体" w:cs="黑体"/>
          <w:b/>
          <w:bCs/>
          <w:sz w:val="30"/>
          <w:szCs w:val="30"/>
          <w:highlight w:val="none"/>
        </w:rPr>
      </w:pPr>
      <w:r>
        <w:rPr>
          <w:rFonts w:hint="eastAsia" w:ascii="黑体" w:hAnsi="黑体" w:eastAsia="黑体" w:cs="黑体"/>
          <w:b/>
          <w:bCs/>
          <w:sz w:val="30"/>
          <w:szCs w:val="30"/>
          <w:highlight w:val="none"/>
        </w:rPr>
        <w:t>五、合同签订</w:t>
      </w:r>
      <w:bookmarkEnd w:id="6"/>
    </w:p>
    <w:p w14:paraId="6C6ECD4B">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1.招标人根据评标工作小组的评标结果确定中标人，并书面通知中标人。</w:t>
      </w:r>
    </w:p>
    <w:p w14:paraId="03493987">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2.中标结果将在重汽e采通平台公布。</w:t>
      </w:r>
    </w:p>
    <w:p w14:paraId="1250539B">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中标人收到中标结果后，应及时与招标人联系，在规定的时间内完成合同签订，如果中标人接到《中标通知书》后，无不正当理由拒签合同、在签订合同时向招标人提出无理附加条件的，取消该投标人的中标资格，该投标人2年内不得参与招标人关于该类服务和培训的招投标项目。</w:t>
      </w:r>
    </w:p>
    <w:p w14:paraId="16F311AC">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4.中标人应当按照合同约定的履约责任，在保证质量的前提下完成中标项目，不得将中标项目转包或分包给他人，否则视为违约，招标人有权解除合同。</w:t>
      </w:r>
    </w:p>
    <w:p w14:paraId="611F1876">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5.在履行合同过程中，中标人由于履行义务的能力或信用有严重缺陷，招标人有权解除合同并取消其中标资格，招标人将从中标候选单位中依序重新确定中标人，或重新组织招标。</w:t>
      </w:r>
    </w:p>
    <w:p w14:paraId="1810F0F9">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6.双方的权利义务以最终签署的合同为准</w:t>
      </w:r>
    </w:p>
    <w:p w14:paraId="52D8616F">
      <w:pPr>
        <w:pStyle w:val="10"/>
        <w:pageBreakBefore w:val="0"/>
        <w:kinsoku/>
        <w:wordWrap/>
        <w:overflowPunct/>
        <w:topLinePunct w:val="0"/>
        <w:bidi w:val="0"/>
        <w:spacing w:line="520" w:lineRule="exact"/>
        <w:ind w:firstLine="602" w:firstLineChars="200"/>
        <w:textAlignment w:val="auto"/>
        <w:outlineLvl w:val="0"/>
        <w:rPr>
          <w:rFonts w:ascii="黑体" w:hAnsi="黑体" w:eastAsia="黑体" w:cs="黑体"/>
          <w:b/>
          <w:bCs/>
          <w:sz w:val="30"/>
          <w:szCs w:val="30"/>
          <w:highlight w:val="none"/>
        </w:rPr>
      </w:pPr>
      <w:bookmarkStart w:id="7" w:name="_Toc28350"/>
      <w:r>
        <w:rPr>
          <w:rFonts w:hint="eastAsia" w:ascii="黑体" w:hAnsi="黑体" w:eastAsia="黑体" w:cs="黑体"/>
          <w:b/>
          <w:bCs/>
          <w:sz w:val="30"/>
          <w:szCs w:val="30"/>
          <w:highlight w:val="none"/>
        </w:rPr>
        <w:t>六、废标及终止招标</w:t>
      </w:r>
      <w:bookmarkEnd w:id="7"/>
    </w:p>
    <w:p w14:paraId="0E5848C1">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1.投标人有下列情形之一的，将被视为废标，招标人将按照有关法律法规行使权力。投标人给招标人造成损失的，招标人有索赔的权力，投标人应给予赔偿。</w:t>
      </w:r>
    </w:p>
    <w:p w14:paraId="44C8BF2F">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（1）投标人提供的有关资格、资质证明文件不全、不真实；</w:t>
      </w:r>
    </w:p>
    <w:p w14:paraId="32A73874">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（2）投标人在报价有效期内撤回投标；</w:t>
      </w:r>
    </w:p>
    <w:p w14:paraId="1AE83722">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（3）在评标过程中，投标人有企图影响评标结果公正性的任何项目；</w:t>
      </w:r>
    </w:p>
    <w:p w14:paraId="0B7A53C5">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（4）投标人以任何形式诋毁他人投标；</w:t>
      </w:r>
    </w:p>
    <w:p w14:paraId="7233EF68">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（5）以他人名义投标或以任何方式骗取中标；</w:t>
      </w:r>
    </w:p>
    <w:p w14:paraId="5804DE6C">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（6）投标人对招标文件做出实质性变更</w:t>
      </w:r>
      <w:bookmarkStart w:id="8" w:name="_Hlk105656847"/>
      <w:r>
        <w:rPr>
          <w:rFonts w:hint="eastAsia" w:ascii="仿宋_GB2312" w:hAnsi="仿宋_GB2312" w:eastAsia="仿宋_GB2312" w:cs="仿宋_GB2312"/>
          <w:sz w:val="30"/>
          <w:szCs w:val="30"/>
          <w:highlight w:val="none"/>
        </w:rPr>
        <w:t>；</w:t>
      </w:r>
      <w:bookmarkEnd w:id="8"/>
    </w:p>
    <w:p w14:paraId="6CFA9FF9">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（7）投标人被举报、检举，并经招标方查实无误的；</w:t>
      </w:r>
    </w:p>
    <w:p w14:paraId="1B608E59">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（8）投标单位负责人为同一人或存在管理关系的。</w:t>
      </w:r>
    </w:p>
    <w:p w14:paraId="42E93291">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（9）法律、法规规定的其他情况。</w:t>
      </w:r>
    </w:p>
    <w:p w14:paraId="7B7DD4EA">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2.出现下列情形，招标人有权否决投标人的投标，并终止招标。</w:t>
      </w:r>
    </w:p>
    <w:p w14:paraId="2F600ECC">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（1）出现影响评审公正性的违法、违规行为；</w:t>
      </w:r>
    </w:p>
    <w:p w14:paraId="161AFA42">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（2）因重大变故，本项目取消；</w:t>
      </w:r>
    </w:p>
    <w:p w14:paraId="5A452BDF">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（3）符合投标条件的投标方或者对招标文件做实质响应的投标方不足3家的；</w:t>
      </w:r>
    </w:p>
    <w:p w14:paraId="35CB4BDC">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（4）不同投标人的投标文件异常一致或者投标报价呈规律性差异的；</w:t>
      </w:r>
    </w:p>
    <w:p w14:paraId="6FBFCED9">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（5）投标人报价均超过投标限价的；</w:t>
      </w:r>
    </w:p>
    <w:p w14:paraId="772C0570">
      <w:pPr>
        <w:pageBreakBefore w:val="0"/>
        <w:kinsoku/>
        <w:wordWrap/>
        <w:overflowPunct/>
        <w:topLinePunct w:val="0"/>
        <w:bidi w:val="0"/>
        <w:spacing w:line="520" w:lineRule="exact"/>
        <w:ind w:firstLine="600" w:firstLineChars="200"/>
        <w:jc w:val="left"/>
        <w:textAlignment w:val="auto"/>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（6）招标人认为其他应终止招标的情形。</w:t>
      </w:r>
    </w:p>
    <w:p w14:paraId="07CC5E8B">
      <w:pPr>
        <w:pStyle w:val="10"/>
        <w:pageBreakBefore w:val="0"/>
        <w:kinsoku/>
        <w:wordWrap/>
        <w:overflowPunct/>
        <w:topLinePunct w:val="0"/>
        <w:bidi w:val="0"/>
        <w:spacing w:line="520" w:lineRule="exact"/>
        <w:ind w:firstLine="602" w:firstLineChars="200"/>
        <w:textAlignment w:val="auto"/>
        <w:outlineLvl w:val="0"/>
        <w:rPr>
          <w:rFonts w:ascii="黑体" w:hAnsi="黑体" w:eastAsia="黑体" w:cs="黑体"/>
          <w:b/>
          <w:bCs/>
          <w:sz w:val="30"/>
          <w:szCs w:val="30"/>
          <w:highlight w:val="none"/>
        </w:rPr>
      </w:pPr>
      <w:bookmarkStart w:id="9" w:name="_Toc8621"/>
      <w:r>
        <w:rPr>
          <w:rFonts w:hint="eastAsia" w:ascii="黑体" w:hAnsi="黑体" w:eastAsia="黑体" w:cs="黑体"/>
          <w:b/>
          <w:bCs/>
          <w:sz w:val="30"/>
          <w:szCs w:val="30"/>
          <w:highlight w:val="none"/>
        </w:rPr>
        <w:t>七、中标人瑕疵滞后发现的处理原则</w:t>
      </w:r>
      <w:bookmarkEnd w:id="9"/>
    </w:p>
    <w:p w14:paraId="35DF0E80">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335CC7B">
      <w:pPr>
        <w:pStyle w:val="10"/>
        <w:pageBreakBefore w:val="0"/>
        <w:kinsoku/>
        <w:wordWrap/>
        <w:overflowPunct/>
        <w:topLinePunct w:val="0"/>
        <w:bidi w:val="0"/>
        <w:spacing w:line="520" w:lineRule="exact"/>
        <w:ind w:firstLine="602" w:firstLineChars="200"/>
        <w:textAlignment w:val="auto"/>
        <w:outlineLvl w:val="0"/>
        <w:rPr>
          <w:rFonts w:ascii="黑体" w:hAnsi="黑体" w:eastAsia="黑体" w:cs="黑体"/>
          <w:b/>
          <w:bCs/>
          <w:sz w:val="30"/>
          <w:szCs w:val="30"/>
          <w:highlight w:val="none"/>
        </w:rPr>
      </w:pPr>
      <w:bookmarkStart w:id="10" w:name="_Toc10048"/>
      <w:r>
        <w:rPr>
          <w:rFonts w:hint="eastAsia" w:ascii="黑体" w:hAnsi="黑体" w:eastAsia="黑体" w:cs="黑体"/>
          <w:b/>
          <w:bCs/>
          <w:sz w:val="30"/>
          <w:szCs w:val="30"/>
          <w:highlight w:val="none"/>
        </w:rPr>
        <w:t>八、投标文件格式</w:t>
      </w:r>
      <w:bookmarkEnd w:id="10"/>
    </w:p>
    <w:p w14:paraId="4C06C1FE">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详见附件。</w:t>
      </w:r>
    </w:p>
    <w:p w14:paraId="122D000A">
      <w:pPr>
        <w:pStyle w:val="10"/>
        <w:pageBreakBefore w:val="0"/>
        <w:kinsoku/>
        <w:wordWrap/>
        <w:overflowPunct/>
        <w:topLinePunct w:val="0"/>
        <w:bidi w:val="0"/>
        <w:spacing w:line="520" w:lineRule="exact"/>
        <w:ind w:firstLine="602" w:firstLineChars="200"/>
        <w:textAlignment w:val="auto"/>
        <w:outlineLvl w:val="0"/>
        <w:rPr>
          <w:rFonts w:ascii="黑体" w:hAnsi="黑体" w:eastAsia="黑体" w:cs="黑体"/>
          <w:b/>
          <w:bCs/>
          <w:sz w:val="30"/>
          <w:szCs w:val="30"/>
          <w:highlight w:val="none"/>
        </w:rPr>
      </w:pPr>
      <w:bookmarkStart w:id="11" w:name="_Toc2515"/>
      <w:r>
        <w:rPr>
          <w:rFonts w:hint="eastAsia" w:ascii="黑体" w:hAnsi="黑体" w:eastAsia="黑体" w:cs="黑体"/>
          <w:b/>
          <w:bCs/>
          <w:sz w:val="30"/>
          <w:szCs w:val="30"/>
          <w:highlight w:val="none"/>
        </w:rPr>
        <w:t>九、技术协议书</w:t>
      </w:r>
      <w:bookmarkEnd w:id="11"/>
    </w:p>
    <w:p w14:paraId="0EC475E9">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附后，以最后签订版本为准。</w:t>
      </w:r>
    </w:p>
    <w:p w14:paraId="1F7EB6EE">
      <w:pPr>
        <w:pStyle w:val="10"/>
        <w:pageBreakBefore w:val="0"/>
        <w:kinsoku/>
        <w:wordWrap/>
        <w:overflowPunct/>
        <w:topLinePunct w:val="0"/>
        <w:bidi w:val="0"/>
        <w:spacing w:line="520" w:lineRule="exact"/>
        <w:ind w:firstLine="602" w:firstLineChars="200"/>
        <w:textAlignment w:val="auto"/>
        <w:outlineLvl w:val="0"/>
        <w:rPr>
          <w:rFonts w:ascii="黑体" w:hAnsi="黑体" w:eastAsia="黑体" w:cs="黑体"/>
          <w:b/>
          <w:bCs/>
          <w:sz w:val="30"/>
          <w:szCs w:val="30"/>
          <w:highlight w:val="none"/>
        </w:rPr>
      </w:pPr>
      <w:bookmarkStart w:id="12" w:name="_Toc23780"/>
      <w:r>
        <w:rPr>
          <w:rFonts w:hint="eastAsia" w:ascii="黑体" w:hAnsi="黑体" w:eastAsia="黑体" w:cs="黑体"/>
          <w:b/>
          <w:bCs/>
          <w:sz w:val="30"/>
          <w:szCs w:val="30"/>
          <w:highlight w:val="none"/>
        </w:rPr>
        <w:t>十、本次招标最终解释权归中国重汽集团济南动力有限公司。</w:t>
      </w:r>
      <w:bookmarkEnd w:id="12"/>
    </w:p>
    <w:p w14:paraId="02E31FCC">
      <w:pPr>
        <w:pStyle w:val="13"/>
        <w:pageBreakBefore w:val="0"/>
        <w:kinsoku/>
        <w:wordWrap/>
        <w:overflowPunct/>
        <w:topLinePunct w:val="0"/>
        <w:bidi w:val="0"/>
        <w:spacing w:line="520" w:lineRule="exact"/>
        <w:textAlignment w:val="auto"/>
        <w:rPr>
          <w:sz w:val="30"/>
          <w:szCs w:val="30"/>
          <w:highlight w:val="none"/>
        </w:rPr>
      </w:pPr>
    </w:p>
    <w:p w14:paraId="4B012ECB">
      <w:pPr>
        <w:pStyle w:val="13"/>
        <w:pageBreakBefore w:val="0"/>
        <w:kinsoku/>
        <w:wordWrap/>
        <w:overflowPunct/>
        <w:topLinePunct w:val="0"/>
        <w:bidi w:val="0"/>
        <w:spacing w:line="520" w:lineRule="exact"/>
        <w:textAlignment w:val="auto"/>
        <w:rPr>
          <w:sz w:val="30"/>
          <w:szCs w:val="30"/>
          <w:highlight w:val="none"/>
        </w:rPr>
      </w:pPr>
    </w:p>
    <w:p w14:paraId="1C546D5D">
      <w:pPr>
        <w:pStyle w:val="13"/>
        <w:pageBreakBefore w:val="0"/>
        <w:kinsoku/>
        <w:wordWrap/>
        <w:overflowPunct/>
        <w:topLinePunct w:val="0"/>
        <w:bidi w:val="0"/>
        <w:spacing w:line="520" w:lineRule="exact"/>
        <w:textAlignment w:val="auto"/>
        <w:rPr>
          <w:sz w:val="30"/>
          <w:szCs w:val="30"/>
          <w:highlight w:val="none"/>
        </w:rPr>
      </w:pPr>
    </w:p>
    <w:p w14:paraId="1AAE9DBD">
      <w:pPr>
        <w:pageBreakBefore w:val="0"/>
        <w:kinsoku/>
        <w:wordWrap/>
        <w:overflowPunct/>
        <w:topLinePunct w:val="0"/>
        <w:bidi w:val="0"/>
        <w:spacing w:line="520" w:lineRule="exact"/>
        <w:ind w:firstLine="600" w:firstLineChars="200"/>
        <w:jc w:val="left"/>
        <w:textAlignment w:val="auto"/>
        <w:rPr>
          <w:rFonts w:ascii="仿宋_GB2312" w:hAnsi="仿宋" w:eastAsia="仿宋_GB2312"/>
          <w:sz w:val="30"/>
          <w:szCs w:val="30"/>
          <w:highlight w:val="none"/>
        </w:rPr>
      </w:pPr>
      <w:r>
        <w:rPr>
          <w:rFonts w:hint="eastAsia" w:ascii="仿宋_GB2312" w:hAnsi="仿宋" w:eastAsia="仿宋_GB2312"/>
          <w:sz w:val="30"/>
          <w:szCs w:val="30"/>
          <w:highlight w:val="none"/>
        </w:rPr>
        <w:t xml:space="preserve">                       中国重汽集团济南动力有限公司</w:t>
      </w:r>
    </w:p>
    <w:p w14:paraId="495AD4F6">
      <w:pPr>
        <w:pageBreakBefore w:val="0"/>
        <w:kinsoku/>
        <w:wordWrap/>
        <w:overflowPunct/>
        <w:topLinePunct w:val="0"/>
        <w:bidi w:val="0"/>
        <w:spacing w:line="520" w:lineRule="exact"/>
        <w:ind w:firstLine="600" w:firstLineChars="200"/>
        <w:jc w:val="left"/>
        <w:textAlignment w:val="auto"/>
        <w:rPr>
          <w:rFonts w:ascii="仿宋_GB2312" w:hAnsi="Calibri" w:eastAsia="仿宋_GB2312"/>
          <w:sz w:val="30"/>
          <w:szCs w:val="30"/>
          <w:highlight w:val="none"/>
        </w:rPr>
      </w:pPr>
      <w:r>
        <w:rPr>
          <w:rFonts w:hint="eastAsia" w:ascii="仿宋_GB2312" w:hAnsi="仿宋" w:eastAsia="仿宋_GB2312"/>
          <w:sz w:val="30"/>
          <w:szCs w:val="30"/>
          <w:highlight w:val="none"/>
        </w:rPr>
        <w:t xml:space="preserve">                                202</w:t>
      </w:r>
      <w:r>
        <w:rPr>
          <w:rFonts w:hint="eastAsia" w:ascii="仿宋_GB2312" w:hAnsi="仿宋" w:eastAsia="仿宋_GB2312"/>
          <w:sz w:val="30"/>
          <w:szCs w:val="30"/>
          <w:highlight w:val="none"/>
          <w:lang w:val="en-US" w:eastAsia="zh-CN"/>
        </w:rPr>
        <w:t>5</w:t>
      </w:r>
      <w:r>
        <w:rPr>
          <w:rFonts w:hint="eastAsia" w:ascii="仿宋_GB2312" w:hAnsi="仿宋" w:eastAsia="仿宋_GB2312"/>
          <w:sz w:val="30"/>
          <w:szCs w:val="30"/>
          <w:highlight w:val="none"/>
        </w:rPr>
        <w:t>年</w:t>
      </w:r>
      <w:r>
        <w:rPr>
          <w:rFonts w:hint="eastAsia" w:ascii="仿宋_GB2312" w:hAnsi="仿宋" w:eastAsia="仿宋_GB2312"/>
          <w:sz w:val="30"/>
          <w:szCs w:val="30"/>
          <w:highlight w:val="none"/>
          <w:lang w:val="en-US" w:eastAsia="zh-CN"/>
        </w:rPr>
        <w:t>10</w:t>
      </w:r>
      <w:r>
        <w:rPr>
          <w:rFonts w:hint="eastAsia" w:ascii="仿宋_GB2312" w:hAnsi="仿宋" w:eastAsia="仿宋_GB2312"/>
          <w:sz w:val="30"/>
          <w:szCs w:val="30"/>
          <w:highlight w:val="none"/>
        </w:rPr>
        <w:t>月</w:t>
      </w:r>
    </w:p>
    <w:p w14:paraId="07ECE2EE">
      <w:pPr>
        <w:rPr>
          <w:rFonts w:ascii="宋体" w:hAnsi="宋体" w:cs="宋体"/>
          <w:sz w:val="24"/>
          <w:szCs w:val="24"/>
          <w:highlight w:val="none"/>
        </w:rPr>
      </w:pPr>
      <w:bookmarkStart w:id="13" w:name="_Toc13641"/>
      <w:r>
        <w:rPr>
          <w:rFonts w:hint="eastAsia" w:ascii="宋体" w:hAnsi="宋体" w:cs="宋体"/>
          <w:sz w:val="24"/>
          <w:szCs w:val="24"/>
          <w:highlight w:val="none"/>
        </w:rPr>
        <w:br w:type="page"/>
      </w:r>
    </w:p>
    <w:p w14:paraId="1E97FE10">
      <w:pPr>
        <w:rPr>
          <w:rFonts w:ascii="宋体" w:hAnsi="宋体" w:cs="宋体"/>
          <w:sz w:val="24"/>
          <w:szCs w:val="24"/>
          <w:highlight w:val="none"/>
        </w:rPr>
      </w:pPr>
      <w:r>
        <w:rPr>
          <w:rFonts w:hint="eastAsia" w:ascii="宋体" w:hAnsi="宋体" w:cs="宋体"/>
          <w:sz w:val="24"/>
          <w:szCs w:val="24"/>
          <w:highlight w:val="none"/>
        </w:rPr>
        <w:t>附件1：</w:t>
      </w:r>
      <w:bookmarkEnd w:id="13"/>
    </w:p>
    <w:p w14:paraId="613CB9AE">
      <w:pPr>
        <w:pStyle w:val="7"/>
        <w:spacing w:line="460" w:lineRule="exact"/>
        <w:jc w:val="center"/>
        <w:rPr>
          <w:rFonts w:ascii="宋体" w:hAnsi="宋体" w:eastAsia="宋体"/>
          <w:b/>
          <w:bCs/>
          <w:sz w:val="36"/>
          <w:szCs w:val="36"/>
          <w:highlight w:val="none"/>
        </w:rPr>
      </w:pPr>
      <w:r>
        <w:rPr>
          <w:rFonts w:hint="eastAsia" w:ascii="宋体" w:hAnsi="宋体" w:eastAsia="宋体" w:cs="宋体"/>
          <w:b/>
          <w:bCs/>
          <w:sz w:val="36"/>
          <w:szCs w:val="36"/>
          <w:highlight w:val="none"/>
        </w:rPr>
        <w:t>法定代表人授权委托书</w:t>
      </w:r>
    </w:p>
    <w:p w14:paraId="5B48F5BE">
      <w:pPr>
        <w:pStyle w:val="7"/>
        <w:spacing w:line="460" w:lineRule="exact"/>
        <w:jc w:val="center"/>
        <w:rPr>
          <w:rFonts w:ascii="宋体" w:hAnsi="宋体" w:eastAsia="宋体"/>
          <w:b/>
          <w:bCs/>
          <w:szCs w:val="32"/>
          <w:highlight w:val="none"/>
        </w:rPr>
      </w:pPr>
    </w:p>
    <w:p w14:paraId="6E87B14D">
      <w:pPr>
        <w:pStyle w:val="7"/>
        <w:spacing w:line="560" w:lineRule="exact"/>
        <w:rPr>
          <w:rFonts w:ascii="宋体" w:hAnsi="宋体" w:eastAsia="宋体"/>
          <w:sz w:val="24"/>
          <w:szCs w:val="24"/>
          <w:highlight w:val="none"/>
          <w:u w:val="single"/>
        </w:rPr>
      </w:pPr>
      <w:r>
        <w:rPr>
          <w:rFonts w:hint="eastAsia" w:ascii="宋体" w:hAnsi="宋体" w:eastAsia="宋体" w:cs="宋体"/>
          <w:sz w:val="24"/>
          <w:szCs w:val="24"/>
          <w:highlight w:val="none"/>
          <w:u w:val="single"/>
        </w:rPr>
        <w:t xml:space="preserve">  中国重汽集团济南动力有限公司 ：</w:t>
      </w:r>
    </w:p>
    <w:p w14:paraId="076B7F1F">
      <w:pPr>
        <w:pStyle w:val="7"/>
        <w:spacing w:line="560" w:lineRule="exact"/>
        <w:ind w:firstLine="480"/>
        <w:rPr>
          <w:rFonts w:ascii="宋体" w:hAnsi="宋体" w:eastAsia="宋体"/>
          <w:sz w:val="24"/>
          <w:szCs w:val="24"/>
          <w:highlight w:val="none"/>
        </w:rPr>
      </w:pP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（投标人名称）法定代表人</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授权我公司</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（职务或职称）</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（姓名）为我单位本次投标授权代理人，全权处理此次招标项目（项目编号：</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u w:val="single"/>
        </w:rPr>
        <w:t xml:space="preserve"> </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）投标活动的一切事宜。</w:t>
      </w:r>
    </w:p>
    <w:p w14:paraId="0887F0AE">
      <w:pPr>
        <w:adjustRightInd w:val="0"/>
        <w:snapToGrid w:val="0"/>
        <w:spacing w:before="93" w:beforeLines="30" w:line="360" w:lineRule="auto"/>
        <w:ind w:firstLine="480" w:firstLineChars="200"/>
        <w:rPr>
          <w:rFonts w:ascii="宋体" w:hAnsi="宋体"/>
          <w:sz w:val="24"/>
          <w:highlight w:val="none"/>
        </w:rPr>
      </w:pPr>
      <w:r>
        <w:rPr>
          <w:rFonts w:hint="eastAsia" w:ascii="宋体" w:hAnsi="宋体"/>
          <w:sz w:val="24"/>
          <w:highlight w:val="none"/>
        </w:rPr>
        <w:t>委托期限：</w:t>
      </w:r>
      <w:r>
        <w:rPr>
          <w:rFonts w:hint="eastAsia" w:ascii="宋体" w:hAnsi="宋体"/>
          <w:sz w:val="24"/>
          <w:highlight w:val="none"/>
          <w:u w:val="single"/>
        </w:rPr>
        <w:t xml:space="preserve">                       </w:t>
      </w:r>
      <w:r>
        <w:rPr>
          <w:rFonts w:hint="eastAsia" w:ascii="宋体" w:hAnsi="宋体"/>
          <w:sz w:val="24"/>
          <w:highlight w:val="none"/>
        </w:rPr>
        <w:t xml:space="preserve">    </w:t>
      </w:r>
    </w:p>
    <w:p w14:paraId="79789387">
      <w:pPr>
        <w:adjustRightInd w:val="0"/>
        <w:snapToGrid w:val="0"/>
        <w:spacing w:before="93" w:beforeLines="30" w:line="312" w:lineRule="auto"/>
        <w:ind w:firstLine="480" w:firstLineChars="200"/>
        <w:rPr>
          <w:rFonts w:ascii="宋体" w:hAnsi="宋体"/>
          <w:sz w:val="24"/>
          <w:highlight w:val="none"/>
        </w:rPr>
      </w:pPr>
      <w:r>
        <w:rPr>
          <w:rFonts w:hint="eastAsia" w:ascii="宋体" w:hAnsi="宋体"/>
          <w:sz w:val="24"/>
          <w:highlight w:val="none"/>
        </w:rPr>
        <w:t>全权代表无转委权。特此委托。</w:t>
      </w:r>
      <w:r>
        <w:rPr>
          <w:rFonts w:hint="eastAsia" w:ascii="宋体" w:hAnsi="宋体"/>
          <w:highlight w:val="none"/>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270A18E2">
                            <w:pPr>
                              <w:jc w:val="center"/>
                            </w:pPr>
                          </w:p>
                          <w:p w14:paraId="4AAA3BB7">
                            <w:pPr>
                              <w:jc w:val="center"/>
                            </w:pPr>
                          </w:p>
                          <w:p w14:paraId="6103DBF6">
                            <w:pPr>
                              <w:jc w:val="center"/>
                            </w:pPr>
                          </w:p>
                          <w:p w14:paraId="13FB1B55">
                            <w:pPr>
                              <w:jc w:val="center"/>
                            </w:pPr>
                            <w:r>
                              <w:rPr>
                                <w:rFonts w:hint="eastAsia"/>
                              </w:rPr>
                              <w:t>法定代表人身份证复印件（正面）</w:t>
                            </w:r>
                          </w:p>
                          <w:p w14:paraId="1D60D599">
                            <w:pPr>
                              <w:jc w:val="center"/>
                            </w:pPr>
                          </w:p>
                          <w:p w14:paraId="07FF6BDF">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6VH8tgAAAAJAQAADwAAAAAAAAABACAAAAAiAAAAZHJzL2Rvd25y&#10;ZXYueG1sUEsBAhQAFAAAAAgAh07iQAPUsD83AgAAewQAAA4AAAAAAAAAAQAgAAAAJwEAAGRycy9l&#10;Mm9Eb2MueG1sUEsFBgAAAAAGAAYAWQEAANAFAAAAAA==&#10;">
                <v:fill on="t" focussize="0,0"/>
                <v:stroke color="#000000" miterlimit="8" joinstyle="miter"/>
                <v:imagedata o:title=""/>
                <o:lock v:ext="edit" aspectratio="f"/>
                <v:textbox>
                  <w:txbxContent>
                    <w:p w14:paraId="270A18E2">
                      <w:pPr>
                        <w:jc w:val="center"/>
                      </w:pPr>
                    </w:p>
                    <w:p w14:paraId="4AAA3BB7">
                      <w:pPr>
                        <w:jc w:val="center"/>
                      </w:pPr>
                    </w:p>
                    <w:p w14:paraId="6103DBF6">
                      <w:pPr>
                        <w:jc w:val="center"/>
                      </w:pPr>
                    </w:p>
                    <w:p w14:paraId="13FB1B55">
                      <w:pPr>
                        <w:jc w:val="center"/>
                      </w:pPr>
                      <w:r>
                        <w:rPr>
                          <w:rFonts w:hint="eastAsia"/>
                        </w:rPr>
                        <w:t>法定代表人身份证复印件（正面）</w:t>
                      </w:r>
                    </w:p>
                    <w:p w14:paraId="1D60D599">
                      <w:pPr>
                        <w:jc w:val="center"/>
                      </w:pPr>
                    </w:p>
                    <w:p w14:paraId="07FF6BDF">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5FC82227">
                            <w:pPr>
                              <w:jc w:val="center"/>
                            </w:pPr>
                            <w:r>
                              <w:rPr>
                                <w:rFonts w:hint="eastAsia"/>
                              </w:rPr>
                              <w:t>授权代理人身份证复印件（正面）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P4KwtgAAAAKAQAADwAAAAAAAAABACAAAAAiAAAAZHJzL2Rvd25y&#10;ZXYueG1sUEsBAhQAFAAAAAgAh07iQKCcKZw3AgAAewQAAA4AAAAAAAAAAQAgAAAAJwEAAGRycy9l&#10;Mm9Eb2MueG1sUEsFBgAAAAAGAAYAWQEAANAFAAAAAA==&#10;">
                <v:fill on="t" focussize="0,0"/>
                <v:stroke color="#000000" miterlimit="8" joinstyle="miter"/>
                <v:imagedata o:title=""/>
                <o:lock v:ext="edit" aspectratio="f"/>
                <v:textbox>
                  <w:txbxContent>
                    <w:p w14:paraId="5FC82227">
                      <w:pPr>
                        <w:jc w:val="center"/>
                      </w:pPr>
                      <w:r>
                        <w:rPr>
                          <w:rFonts w:hint="eastAsia"/>
                        </w:rPr>
                        <w:t>授权代理人身份证复印件（正面）</w:t>
                      </w:r>
                    </w:p>
                  </w:txbxContent>
                </v:textbox>
              </v:rect>
            </w:pict>
          </mc:Fallback>
        </mc:AlternateContent>
      </w:r>
      <w:r>
        <w:rPr>
          <w:rFonts w:hint="eastAsia" w:ascii="宋体" w:hAnsi="宋体"/>
          <w:highlight w:val="none"/>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793E6074">
                            <w:pPr>
                              <w:jc w:val="center"/>
                            </w:pPr>
                          </w:p>
                          <w:p w14:paraId="4E8A6974">
                            <w:pPr>
                              <w:jc w:val="center"/>
                            </w:pPr>
                          </w:p>
                          <w:p w14:paraId="48A7F5DA">
                            <w:pPr>
                              <w:jc w:val="center"/>
                            </w:pPr>
                          </w:p>
                          <w:p w14:paraId="1B939E29">
                            <w:pPr>
                              <w:jc w:val="center"/>
                            </w:pPr>
                            <w:r>
                              <w:rPr>
                                <w:rFonts w:hint="eastAsia"/>
                              </w:rPr>
                              <w:t>法定代表人身份证复印件（反面）</w:t>
                            </w:r>
                          </w:p>
                          <w:p w14:paraId="39394567">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67nBPYAAAACgEAAA8AAAAAAAAAAQAgAAAAIgAAAGRycy9kb3du&#10;cmV2LnhtbFBLAQIUABQAAAAIAIdO4kAryhzXOAIAAHsEAAAOAAAAAAAAAAEAIAAAACcBAABkcnMv&#10;ZTJvRG9jLnhtbFBLBQYAAAAABgAGAFkBAADRBQAAAAA=&#10;">
                <v:fill on="t" focussize="0,0"/>
                <v:stroke color="#000000" miterlimit="8" joinstyle="miter"/>
                <v:imagedata o:title=""/>
                <o:lock v:ext="edit" aspectratio="f"/>
                <v:textbox>
                  <w:txbxContent>
                    <w:p w14:paraId="793E6074">
                      <w:pPr>
                        <w:jc w:val="center"/>
                      </w:pPr>
                    </w:p>
                    <w:p w14:paraId="4E8A6974">
                      <w:pPr>
                        <w:jc w:val="center"/>
                      </w:pPr>
                    </w:p>
                    <w:p w14:paraId="48A7F5DA">
                      <w:pPr>
                        <w:jc w:val="center"/>
                      </w:pPr>
                    </w:p>
                    <w:p w14:paraId="1B939E29">
                      <w:pPr>
                        <w:jc w:val="center"/>
                      </w:pPr>
                      <w:r>
                        <w:rPr>
                          <w:rFonts w:hint="eastAsia"/>
                        </w:rPr>
                        <w:t>法定代表人身份证复印件（反面）</w:t>
                      </w:r>
                    </w:p>
                    <w:p w14:paraId="39394567">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25FEFE76">
                            <w:pPr>
                              <w:jc w:val="center"/>
                            </w:pPr>
                            <w:r>
                              <w:rPr>
                                <w:rFonts w:hint="eastAsia"/>
                              </w:rPr>
                              <w:t>授权代理人身份证复印件（反面）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GctpajaAAAACwEAAA8AAAAAAAAAAQAgAAAAIgAAAGRycy9kb3du&#10;cmV2LnhtbFBLAQIUABQAAAAIAIdO4kC8VCSbNgIAAHsEAAAOAAAAAAAAAAEAIAAAACkBAABkcnMv&#10;ZTJvRG9jLnhtbFBLBQYAAAAABgAGAFkBAADRBQAAAAA=&#10;">
                <v:fill on="t" focussize="0,0"/>
                <v:stroke color="#000000" miterlimit="8" joinstyle="miter"/>
                <v:imagedata o:title=""/>
                <o:lock v:ext="edit" aspectratio="f"/>
                <v:textbox>
                  <w:txbxContent>
                    <w:p w14:paraId="25FEFE76">
                      <w:pPr>
                        <w:jc w:val="center"/>
                      </w:pPr>
                      <w:r>
                        <w:rPr>
                          <w:rFonts w:hint="eastAsia"/>
                        </w:rPr>
                        <w:t>授权代理人身份证复印件（反面）</w:t>
                      </w:r>
                    </w:p>
                  </w:txbxContent>
                </v:textbox>
              </v:rect>
            </w:pict>
          </mc:Fallback>
        </mc:AlternateContent>
      </w:r>
    </w:p>
    <w:p w14:paraId="068B548D">
      <w:pPr>
        <w:spacing w:line="480" w:lineRule="exact"/>
        <w:ind w:firstLine="480" w:firstLineChars="200"/>
        <w:rPr>
          <w:rFonts w:ascii="宋体" w:hAnsi="宋体"/>
          <w:sz w:val="24"/>
          <w:highlight w:val="none"/>
        </w:rPr>
      </w:pPr>
    </w:p>
    <w:p w14:paraId="4B0C60AB">
      <w:pPr>
        <w:spacing w:line="480" w:lineRule="exact"/>
        <w:ind w:firstLine="480" w:firstLineChars="200"/>
        <w:rPr>
          <w:rFonts w:ascii="宋体" w:hAnsi="宋体"/>
          <w:sz w:val="24"/>
          <w:highlight w:val="none"/>
        </w:rPr>
      </w:pPr>
    </w:p>
    <w:p w14:paraId="6493ECC1">
      <w:pPr>
        <w:spacing w:line="480" w:lineRule="exact"/>
        <w:ind w:firstLine="480" w:firstLineChars="200"/>
        <w:rPr>
          <w:rFonts w:ascii="宋体" w:hAnsi="宋体"/>
          <w:sz w:val="24"/>
          <w:highlight w:val="none"/>
        </w:rPr>
      </w:pPr>
    </w:p>
    <w:p w14:paraId="091254F7">
      <w:pPr>
        <w:spacing w:line="480" w:lineRule="exact"/>
        <w:ind w:firstLine="480" w:firstLineChars="200"/>
        <w:rPr>
          <w:rFonts w:ascii="宋体" w:hAnsi="宋体"/>
          <w:sz w:val="24"/>
          <w:highlight w:val="none"/>
        </w:rPr>
      </w:pPr>
    </w:p>
    <w:p w14:paraId="2D56B0CE">
      <w:pPr>
        <w:spacing w:line="480" w:lineRule="exact"/>
        <w:ind w:firstLine="480" w:firstLineChars="200"/>
        <w:rPr>
          <w:rFonts w:ascii="宋体" w:hAnsi="宋体"/>
          <w:sz w:val="24"/>
          <w:highlight w:val="none"/>
        </w:rPr>
      </w:pPr>
    </w:p>
    <w:p w14:paraId="15EC36B1">
      <w:pPr>
        <w:spacing w:line="480" w:lineRule="exact"/>
        <w:ind w:firstLine="480" w:firstLineChars="200"/>
        <w:rPr>
          <w:rFonts w:ascii="宋体" w:hAnsi="宋体"/>
          <w:sz w:val="24"/>
          <w:highlight w:val="none"/>
        </w:rPr>
      </w:pPr>
    </w:p>
    <w:p w14:paraId="09025B7B">
      <w:pPr>
        <w:spacing w:line="480" w:lineRule="exact"/>
        <w:ind w:firstLine="480" w:firstLineChars="200"/>
        <w:rPr>
          <w:rFonts w:ascii="宋体" w:hAnsi="宋体"/>
          <w:sz w:val="24"/>
          <w:highlight w:val="none"/>
        </w:rPr>
      </w:pPr>
    </w:p>
    <w:p w14:paraId="5C3CB3B5">
      <w:pPr>
        <w:spacing w:line="480" w:lineRule="exact"/>
        <w:ind w:firstLine="480" w:firstLineChars="200"/>
        <w:rPr>
          <w:rFonts w:ascii="宋体" w:hAnsi="宋体"/>
          <w:sz w:val="24"/>
          <w:highlight w:val="none"/>
        </w:rPr>
      </w:pPr>
    </w:p>
    <w:p w14:paraId="0ED83F49">
      <w:pPr>
        <w:spacing w:line="480" w:lineRule="exact"/>
        <w:ind w:firstLine="480" w:firstLineChars="200"/>
        <w:rPr>
          <w:rFonts w:ascii="宋体" w:hAnsi="宋体"/>
          <w:sz w:val="24"/>
          <w:highlight w:val="none"/>
        </w:rPr>
      </w:pPr>
    </w:p>
    <w:p w14:paraId="38A7CB58">
      <w:pPr>
        <w:spacing w:line="480" w:lineRule="exact"/>
        <w:rPr>
          <w:rFonts w:ascii="宋体" w:hAnsi="宋体"/>
          <w:sz w:val="24"/>
          <w:highlight w:val="none"/>
        </w:rPr>
      </w:pPr>
    </w:p>
    <w:p w14:paraId="702CA696">
      <w:pPr>
        <w:pStyle w:val="7"/>
        <w:spacing w:line="560" w:lineRule="exact"/>
        <w:rPr>
          <w:rFonts w:ascii="宋体" w:hAnsi="宋体" w:eastAsia="宋体"/>
          <w:sz w:val="24"/>
          <w:szCs w:val="24"/>
          <w:highlight w:val="none"/>
        </w:rPr>
      </w:pPr>
      <w:r>
        <w:rPr>
          <w:rFonts w:hint="eastAsia" w:ascii="宋体" w:hAnsi="宋体" w:eastAsia="宋体" w:cs="宋体"/>
          <w:sz w:val="24"/>
          <w:szCs w:val="24"/>
          <w:highlight w:val="none"/>
        </w:rPr>
        <w:t>单位名称（公章）：</w:t>
      </w:r>
      <w:r>
        <w:rPr>
          <w:rFonts w:ascii="宋体" w:hAnsi="宋体" w:eastAsia="宋体" w:cs="宋体"/>
          <w:sz w:val="24"/>
          <w:szCs w:val="24"/>
          <w:highlight w:val="none"/>
          <w:u w:val="single"/>
        </w:rPr>
        <w:t xml:space="preserve">                 </w:t>
      </w:r>
    </w:p>
    <w:p w14:paraId="7833F3E1">
      <w:pPr>
        <w:pStyle w:val="7"/>
        <w:spacing w:line="560" w:lineRule="exact"/>
        <w:rPr>
          <w:rFonts w:ascii="宋体" w:hAnsi="宋体" w:eastAsia="宋体"/>
          <w:sz w:val="24"/>
          <w:szCs w:val="24"/>
          <w:highlight w:val="none"/>
        </w:rPr>
      </w:pPr>
      <w:r>
        <w:rPr>
          <w:rFonts w:hint="eastAsia" w:ascii="宋体" w:hAnsi="宋体" w:eastAsia="宋体" w:cs="宋体"/>
          <w:sz w:val="24"/>
          <w:szCs w:val="24"/>
          <w:highlight w:val="none"/>
        </w:rPr>
        <w:t>法定代表人签字：</w:t>
      </w:r>
      <w:r>
        <w:rPr>
          <w:rFonts w:ascii="宋体" w:hAnsi="宋体" w:eastAsia="宋体" w:cs="宋体"/>
          <w:sz w:val="24"/>
          <w:szCs w:val="24"/>
          <w:highlight w:val="none"/>
          <w:u w:val="single"/>
        </w:rPr>
        <w:t xml:space="preserve">                  </w:t>
      </w:r>
    </w:p>
    <w:p w14:paraId="713D16D3">
      <w:pPr>
        <w:pStyle w:val="7"/>
        <w:spacing w:line="560" w:lineRule="exact"/>
        <w:rPr>
          <w:rFonts w:ascii="宋体" w:hAnsi="宋体" w:eastAsia="宋体"/>
          <w:sz w:val="24"/>
          <w:szCs w:val="24"/>
          <w:highlight w:val="none"/>
        </w:rPr>
      </w:pPr>
      <w:r>
        <w:rPr>
          <w:rFonts w:hint="eastAsia" w:ascii="宋体" w:hAnsi="宋体" w:eastAsia="宋体" w:cs="宋体"/>
          <w:sz w:val="24"/>
          <w:szCs w:val="24"/>
          <w:highlight w:val="none"/>
        </w:rPr>
        <w:t>授权代理人签字：</w:t>
      </w:r>
      <w:r>
        <w:rPr>
          <w:rFonts w:ascii="宋体" w:hAnsi="宋体" w:eastAsia="宋体" w:cs="宋体"/>
          <w:sz w:val="24"/>
          <w:szCs w:val="24"/>
          <w:highlight w:val="none"/>
          <w:u w:val="single"/>
        </w:rPr>
        <w:t xml:space="preserve">                  </w:t>
      </w:r>
    </w:p>
    <w:p w14:paraId="7E381D62">
      <w:pPr>
        <w:pStyle w:val="7"/>
        <w:spacing w:line="560" w:lineRule="exact"/>
        <w:ind w:left="5880" w:right="283" w:rightChars="135" w:firstLine="420"/>
        <w:jc w:val="right"/>
        <w:rPr>
          <w:rFonts w:ascii="宋体" w:hAnsi="宋体" w:eastAsia="宋体"/>
          <w:sz w:val="24"/>
          <w:highlight w:val="none"/>
        </w:rPr>
      </w:pPr>
      <w:r>
        <w:rPr>
          <w:rFonts w:ascii="宋体" w:hAnsi="宋体" w:eastAsia="宋体"/>
          <w:sz w:val="24"/>
          <w:highlight w:val="none"/>
        </w:rPr>
        <w:t xml:space="preserve">    </w:t>
      </w:r>
      <w:r>
        <w:rPr>
          <w:rFonts w:hint="eastAsia" w:ascii="宋体" w:hAnsi="宋体" w:eastAsia="宋体"/>
          <w:sz w:val="24"/>
          <w:highlight w:val="none"/>
        </w:rPr>
        <w:t>年</w:t>
      </w:r>
      <w:r>
        <w:rPr>
          <w:rFonts w:ascii="宋体" w:hAnsi="宋体" w:eastAsia="宋体"/>
          <w:sz w:val="24"/>
          <w:highlight w:val="none"/>
        </w:rPr>
        <w:t xml:space="preserve">  </w:t>
      </w:r>
      <w:r>
        <w:rPr>
          <w:rFonts w:hint="eastAsia" w:ascii="宋体" w:hAnsi="宋体" w:eastAsia="宋体"/>
          <w:sz w:val="24"/>
          <w:highlight w:val="none"/>
        </w:rPr>
        <w:t>月</w:t>
      </w:r>
      <w:r>
        <w:rPr>
          <w:rFonts w:ascii="宋体" w:hAnsi="宋体" w:eastAsia="宋体"/>
          <w:sz w:val="24"/>
          <w:highlight w:val="none"/>
        </w:rPr>
        <w:t xml:space="preserve">  </w:t>
      </w:r>
      <w:r>
        <w:rPr>
          <w:rFonts w:hint="eastAsia" w:ascii="宋体" w:hAnsi="宋体" w:eastAsia="宋体"/>
          <w:sz w:val="24"/>
          <w:highlight w:val="none"/>
        </w:rPr>
        <w:t>日</w:t>
      </w:r>
    </w:p>
    <w:p w14:paraId="31CE4CEA">
      <w:pPr>
        <w:spacing w:after="156" w:afterLines="50"/>
        <w:jc w:val="left"/>
        <w:rPr>
          <w:rFonts w:ascii="仿宋_GB2312" w:hAnsi="Calibri" w:eastAsia="仿宋_GB2312"/>
          <w:sz w:val="32"/>
          <w:szCs w:val="32"/>
          <w:highlight w:val="none"/>
        </w:rPr>
      </w:pPr>
      <w:bookmarkStart w:id="14" w:name="_Toc16307"/>
    </w:p>
    <w:p w14:paraId="658987FF">
      <w:pPr>
        <w:spacing w:after="156" w:afterLines="50"/>
        <w:jc w:val="left"/>
        <w:rPr>
          <w:rFonts w:ascii="仿宋_GB2312" w:hAnsi="Calibri" w:eastAsia="仿宋_GB2312"/>
          <w:sz w:val="32"/>
          <w:szCs w:val="32"/>
          <w:highlight w:val="none"/>
        </w:rPr>
      </w:pPr>
    </w:p>
    <w:p w14:paraId="0B483234">
      <w:pPr>
        <w:pStyle w:val="13"/>
        <w:rPr>
          <w:highlight w:val="none"/>
        </w:rPr>
      </w:pPr>
    </w:p>
    <w:p w14:paraId="62F322C7">
      <w:pPr>
        <w:rPr>
          <w:rFonts w:ascii="宋体" w:hAnsi="宋体" w:cs="宋体"/>
          <w:sz w:val="24"/>
          <w:szCs w:val="24"/>
          <w:highlight w:val="none"/>
        </w:rPr>
      </w:pPr>
      <w:bookmarkStart w:id="15" w:name="_Toc12670"/>
    </w:p>
    <w:p w14:paraId="33F2176C">
      <w:pPr>
        <w:rPr>
          <w:rFonts w:ascii="宋体" w:hAnsi="宋体" w:cs="宋体"/>
          <w:sz w:val="24"/>
          <w:szCs w:val="24"/>
          <w:highlight w:val="none"/>
        </w:rPr>
      </w:pPr>
    </w:p>
    <w:p w14:paraId="6E4861AF">
      <w:pPr>
        <w:rPr>
          <w:rFonts w:ascii="宋体" w:hAnsi="宋体" w:cs="宋体"/>
          <w:sz w:val="24"/>
          <w:szCs w:val="24"/>
          <w:highlight w:val="none"/>
        </w:rPr>
      </w:pPr>
      <w:r>
        <w:rPr>
          <w:rFonts w:hint="eastAsia" w:ascii="宋体" w:hAnsi="宋体" w:cs="宋体"/>
          <w:sz w:val="24"/>
          <w:szCs w:val="24"/>
          <w:highlight w:val="none"/>
        </w:rPr>
        <w:t>附件2</w:t>
      </w:r>
      <w:bookmarkEnd w:id="14"/>
      <w:bookmarkEnd w:id="15"/>
    </w:p>
    <w:p w14:paraId="28E8C730">
      <w:pPr>
        <w:pStyle w:val="7"/>
        <w:spacing w:line="560" w:lineRule="exact"/>
        <w:ind w:right="283" w:rightChars="135"/>
        <w:jc w:val="center"/>
        <w:rPr>
          <w:rFonts w:ascii="宋体" w:hAnsi="宋体" w:eastAsia="宋体" w:cs="宋体"/>
          <w:sz w:val="36"/>
          <w:szCs w:val="36"/>
          <w:highlight w:val="none"/>
        </w:rPr>
      </w:pPr>
      <w:r>
        <w:rPr>
          <w:rFonts w:hint="eastAsia" w:ascii="宋体" w:hAnsi="宋体" w:eastAsia="宋体" w:cs="宋体"/>
          <w:b/>
          <w:bCs/>
          <w:sz w:val="36"/>
          <w:szCs w:val="36"/>
          <w:highlight w:val="none"/>
        </w:rPr>
        <w:t>投标人基本情况表</w:t>
      </w:r>
    </w:p>
    <w:tbl>
      <w:tblPr>
        <w:tblStyle w:val="20"/>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1074D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530903D">
            <w:pPr>
              <w:spacing w:line="276" w:lineRule="auto"/>
              <w:jc w:val="center"/>
              <w:rPr>
                <w:rFonts w:ascii="宋体" w:hAnsi="宋体" w:cs="Calibri"/>
                <w:sz w:val="24"/>
                <w:highlight w:val="none"/>
              </w:rPr>
            </w:pPr>
            <w:r>
              <w:rPr>
                <w:rFonts w:ascii="宋体" w:hAnsi="宋体" w:cs="Calibri"/>
                <w:sz w:val="24"/>
                <w:highlight w:val="none"/>
              </w:rPr>
              <w:t>投标人名称</w:t>
            </w:r>
          </w:p>
        </w:tc>
        <w:tc>
          <w:tcPr>
            <w:tcW w:w="6849" w:type="dxa"/>
            <w:gridSpan w:val="5"/>
            <w:vAlign w:val="center"/>
          </w:tcPr>
          <w:p w14:paraId="6563A195">
            <w:pPr>
              <w:spacing w:line="276" w:lineRule="auto"/>
              <w:jc w:val="center"/>
              <w:rPr>
                <w:rFonts w:ascii="宋体" w:hAnsi="宋体" w:cs="Calibri"/>
                <w:sz w:val="24"/>
                <w:highlight w:val="none"/>
              </w:rPr>
            </w:pPr>
          </w:p>
        </w:tc>
      </w:tr>
      <w:tr w14:paraId="575E5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647AC13C">
            <w:pPr>
              <w:spacing w:line="276" w:lineRule="auto"/>
              <w:jc w:val="center"/>
              <w:rPr>
                <w:rFonts w:ascii="宋体" w:hAnsi="宋体" w:cs="Calibri"/>
                <w:sz w:val="24"/>
                <w:highlight w:val="none"/>
              </w:rPr>
            </w:pPr>
            <w:r>
              <w:rPr>
                <w:rFonts w:ascii="宋体" w:hAnsi="宋体" w:cs="Calibri"/>
                <w:sz w:val="24"/>
                <w:highlight w:val="none"/>
              </w:rPr>
              <w:t>注册地址</w:t>
            </w:r>
          </w:p>
        </w:tc>
        <w:tc>
          <w:tcPr>
            <w:tcW w:w="3166" w:type="dxa"/>
            <w:gridSpan w:val="3"/>
            <w:vAlign w:val="center"/>
          </w:tcPr>
          <w:p w14:paraId="6EBE5D6E">
            <w:pPr>
              <w:spacing w:line="276" w:lineRule="auto"/>
              <w:jc w:val="center"/>
              <w:rPr>
                <w:rFonts w:ascii="宋体" w:hAnsi="宋体" w:cs="Calibri"/>
                <w:sz w:val="24"/>
                <w:highlight w:val="none"/>
              </w:rPr>
            </w:pPr>
          </w:p>
        </w:tc>
        <w:tc>
          <w:tcPr>
            <w:tcW w:w="1652" w:type="dxa"/>
            <w:vAlign w:val="center"/>
          </w:tcPr>
          <w:p w14:paraId="3AEE51EE">
            <w:pPr>
              <w:spacing w:line="276" w:lineRule="auto"/>
              <w:jc w:val="center"/>
              <w:rPr>
                <w:rFonts w:ascii="宋体" w:hAnsi="宋体" w:cs="Calibri"/>
                <w:sz w:val="24"/>
                <w:highlight w:val="none"/>
              </w:rPr>
            </w:pPr>
            <w:r>
              <w:rPr>
                <w:rFonts w:ascii="宋体" w:hAnsi="宋体" w:cs="Calibri"/>
                <w:sz w:val="24"/>
                <w:highlight w:val="none"/>
              </w:rPr>
              <w:t>邮政编码</w:t>
            </w:r>
          </w:p>
        </w:tc>
        <w:tc>
          <w:tcPr>
            <w:tcW w:w="2031" w:type="dxa"/>
            <w:vAlign w:val="center"/>
          </w:tcPr>
          <w:p w14:paraId="7CD3EF5F">
            <w:pPr>
              <w:spacing w:line="276" w:lineRule="auto"/>
              <w:jc w:val="center"/>
              <w:rPr>
                <w:rFonts w:ascii="宋体" w:hAnsi="宋体" w:cs="Calibri"/>
                <w:sz w:val="24"/>
                <w:highlight w:val="none"/>
              </w:rPr>
            </w:pPr>
          </w:p>
        </w:tc>
      </w:tr>
      <w:tr w14:paraId="246A1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73DE5531">
            <w:pPr>
              <w:spacing w:line="276" w:lineRule="auto"/>
              <w:jc w:val="center"/>
              <w:rPr>
                <w:rFonts w:ascii="宋体" w:hAnsi="宋体" w:cs="Calibri"/>
                <w:sz w:val="24"/>
                <w:highlight w:val="none"/>
              </w:rPr>
            </w:pPr>
            <w:r>
              <w:rPr>
                <w:rFonts w:ascii="宋体" w:hAnsi="宋体" w:cs="Calibri"/>
                <w:sz w:val="24"/>
                <w:highlight w:val="none"/>
              </w:rPr>
              <w:t>联系方式</w:t>
            </w:r>
          </w:p>
        </w:tc>
        <w:tc>
          <w:tcPr>
            <w:tcW w:w="1101" w:type="dxa"/>
            <w:vAlign w:val="center"/>
          </w:tcPr>
          <w:p w14:paraId="5EFD80F8">
            <w:pPr>
              <w:spacing w:line="276" w:lineRule="auto"/>
              <w:jc w:val="center"/>
              <w:rPr>
                <w:rFonts w:ascii="宋体" w:hAnsi="宋体" w:cs="Calibri"/>
                <w:sz w:val="24"/>
                <w:highlight w:val="none"/>
              </w:rPr>
            </w:pPr>
            <w:r>
              <w:rPr>
                <w:rFonts w:ascii="宋体" w:hAnsi="宋体" w:cs="Calibri"/>
                <w:sz w:val="24"/>
                <w:highlight w:val="none"/>
              </w:rPr>
              <w:t>联系人</w:t>
            </w:r>
          </w:p>
        </w:tc>
        <w:tc>
          <w:tcPr>
            <w:tcW w:w="2065" w:type="dxa"/>
            <w:gridSpan w:val="2"/>
            <w:vAlign w:val="center"/>
          </w:tcPr>
          <w:p w14:paraId="5989A75D">
            <w:pPr>
              <w:spacing w:line="276" w:lineRule="auto"/>
              <w:jc w:val="center"/>
              <w:rPr>
                <w:rFonts w:ascii="宋体" w:hAnsi="宋体" w:cs="Calibri"/>
                <w:sz w:val="24"/>
                <w:highlight w:val="none"/>
              </w:rPr>
            </w:pPr>
          </w:p>
        </w:tc>
        <w:tc>
          <w:tcPr>
            <w:tcW w:w="1652" w:type="dxa"/>
            <w:vAlign w:val="center"/>
          </w:tcPr>
          <w:p w14:paraId="707969D7">
            <w:pPr>
              <w:spacing w:line="276" w:lineRule="auto"/>
              <w:jc w:val="center"/>
              <w:rPr>
                <w:rFonts w:ascii="宋体" w:hAnsi="宋体" w:cs="Calibri"/>
                <w:sz w:val="24"/>
                <w:highlight w:val="none"/>
              </w:rPr>
            </w:pPr>
            <w:r>
              <w:rPr>
                <w:rFonts w:ascii="宋体" w:hAnsi="宋体" w:cs="Calibri"/>
                <w:sz w:val="24"/>
                <w:highlight w:val="none"/>
              </w:rPr>
              <w:t>电话</w:t>
            </w:r>
          </w:p>
        </w:tc>
        <w:tc>
          <w:tcPr>
            <w:tcW w:w="2031" w:type="dxa"/>
            <w:vAlign w:val="center"/>
          </w:tcPr>
          <w:p w14:paraId="39E284FA">
            <w:pPr>
              <w:spacing w:line="276" w:lineRule="auto"/>
              <w:jc w:val="center"/>
              <w:rPr>
                <w:rFonts w:ascii="宋体" w:hAnsi="宋体" w:cs="Calibri"/>
                <w:sz w:val="24"/>
                <w:highlight w:val="none"/>
              </w:rPr>
            </w:pPr>
          </w:p>
        </w:tc>
      </w:tr>
      <w:tr w14:paraId="42E6C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62D51A86">
            <w:pPr>
              <w:spacing w:line="276" w:lineRule="auto"/>
              <w:jc w:val="center"/>
              <w:rPr>
                <w:rFonts w:ascii="宋体" w:hAnsi="宋体" w:cs="Calibri"/>
                <w:sz w:val="24"/>
                <w:highlight w:val="none"/>
              </w:rPr>
            </w:pPr>
          </w:p>
        </w:tc>
        <w:tc>
          <w:tcPr>
            <w:tcW w:w="1101" w:type="dxa"/>
            <w:vAlign w:val="center"/>
          </w:tcPr>
          <w:p w14:paraId="6A69009E">
            <w:pPr>
              <w:spacing w:line="276" w:lineRule="auto"/>
              <w:jc w:val="center"/>
              <w:rPr>
                <w:rFonts w:ascii="宋体" w:hAnsi="宋体" w:cs="Calibri"/>
                <w:sz w:val="24"/>
                <w:highlight w:val="none"/>
              </w:rPr>
            </w:pPr>
            <w:r>
              <w:rPr>
                <w:rFonts w:ascii="宋体" w:hAnsi="宋体" w:cs="Calibri"/>
                <w:sz w:val="24"/>
                <w:highlight w:val="none"/>
              </w:rPr>
              <w:t>传真</w:t>
            </w:r>
          </w:p>
        </w:tc>
        <w:tc>
          <w:tcPr>
            <w:tcW w:w="2065" w:type="dxa"/>
            <w:gridSpan w:val="2"/>
            <w:vAlign w:val="center"/>
          </w:tcPr>
          <w:p w14:paraId="2197851B">
            <w:pPr>
              <w:spacing w:line="276" w:lineRule="auto"/>
              <w:jc w:val="center"/>
              <w:rPr>
                <w:rFonts w:ascii="宋体" w:hAnsi="宋体" w:cs="Calibri"/>
                <w:sz w:val="24"/>
                <w:highlight w:val="none"/>
              </w:rPr>
            </w:pPr>
          </w:p>
        </w:tc>
        <w:tc>
          <w:tcPr>
            <w:tcW w:w="1652" w:type="dxa"/>
            <w:vAlign w:val="center"/>
          </w:tcPr>
          <w:p w14:paraId="175B71CA">
            <w:pPr>
              <w:spacing w:line="276" w:lineRule="auto"/>
              <w:jc w:val="center"/>
              <w:rPr>
                <w:rFonts w:ascii="宋体" w:hAnsi="宋体" w:cs="Calibri"/>
                <w:sz w:val="24"/>
                <w:highlight w:val="none"/>
              </w:rPr>
            </w:pPr>
            <w:r>
              <w:rPr>
                <w:rFonts w:ascii="宋体" w:hAnsi="宋体" w:cs="Calibri"/>
                <w:sz w:val="24"/>
                <w:highlight w:val="none"/>
              </w:rPr>
              <w:t>网址</w:t>
            </w:r>
          </w:p>
        </w:tc>
        <w:tc>
          <w:tcPr>
            <w:tcW w:w="2031" w:type="dxa"/>
            <w:vAlign w:val="center"/>
          </w:tcPr>
          <w:p w14:paraId="58BAD0B6">
            <w:pPr>
              <w:spacing w:line="276" w:lineRule="auto"/>
              <w:jc w:val="center"/>
              <w:rPr>
                <w:rFonts w:ascii="宋体" w:hAnsi="宋体" w:cs="Calibri"/>
                <w:sz w:val="24"/>
                <w:highlight w:val="none"/>
              </w:rPr>
            </w:pPr>
          </w:p>
        </w:tc>
      </w:tr>
      <w:tr w14:paraId="5AC09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C47E5FE">
            <w:pPr>
              <w:spacing w:line="276" w:lineRule="auto"/>
              <w:jc w:val="center"/>
              <w:rPr>
                <w:rFonts w:ascii="宋体" w:hAnsi="宋体" w:cs="Calibri"/>
                <w:sz w:val="24"/>
                <w:highlight w:val="none"/>
              </w:rPr>
            </w:pPr>
            <w:r>
              <w:rPr>
                <w:rFonts w:ascii="宋体" w:hAnsi="宋体" w:cs="Calibri"/>
                <w:sz w:val="24"/>
                <w:highlight w:val="none"/>
              </w:rPr>
              <w:t>法定代表人</w:t>
            </w:r>
          </w:p>
        </w:tc>
        <w:tc>
          <w:tcPr>
            <w:tcW w:w="1101" w:type="dxa"/>
            <w:vAlign w:val="center"/>
          </w:tcPr>
          <w:p w14:paraId="6593CDA8">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4D68DFAF">
            <w:pPr>
              <w:spacing w:line="276" w:lineRule="auto"/>
              <w:jc w:val="center"/>
              <w:rPr>
                <w:rFonts w:ascii="宋体" w:hAnsi="宋体" w:cs="Calibri"/>
                <w:sz w:val="24"/>
                <w:highlight w:val="none"/>
              </w:rPr>
            </w:pPr>
          </w:p>
        </w:tc>
        <w:tc>
          <w:tcPr>
            <w:tcW w:w="1652" w:type="dxa"/>
            <w:vAlign w:val="center"/>
          </w:tcPr>
          <w:p w14:paraId="38B00FEE">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2F105934">
            <w:pPr>
              <w:spacing w:line="276" w:lineRule="auto"/>
              <w:jc w:val="center"/>
              <w:rPr>
                <w:rFonts w:ascii="宋体" w:hAnsi="宋体" w:cs="Calibri"/>
                <w:sz w:val="24"/>
                <w:highlight w:val="none"/>
              </w:rPr>
            </w:pPr>
          </w:p>
        </w:tc>
      </w:tr>
      <w:tr w14:paraId="30C3A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4C42024">
            <w:pPr>
              <w:spacing w:line="276" w:lineRule="auto"/>
              <w:jc w:val="center"/>
              <w:rPr>
                <w:rFonts w:ascii="宋体" w:hAnsi="宋体" w:cs="Calibri"/>
                <w:sz w:val="24"/>
                <w:highlight w:val="none"/>
              </w:rPr>
            </w:pPr>
            <w:r>
              <w:rPr>
                <w:rFonts w:ascii="宋体" w:hAnsi="宋体" w:cs="Calibri"/>
                <w:sz w:val="24"/>
                <w:highlight w:val="none"/>
              </w:rPr>
              <w:t>负责人</w:t>
            </w:r>
          </w:p>
        </w:tc>
        <w:tc>
          <w:tcPr>
            <w:tcW w:w="1101" w:type="dxa"/>
            <w:vAlign w:val="center"/>
          </w:tcPr>
          <w:p w14:paraId="702CEF1A">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554FA80A">
            <w:pPr>
              <w:spacing w:line="276" w:lineRule="auto"/>
              <w:jc w:val="center"/>
              <w:rPr>
                <w:rFonts w:ascii="宋体" w:hAnsi="宋体" w:cs="Calibri"/>
                <w:sz w:val="24"/>
                <w:highlight w:val="none"/>
              </w:rPr>
            </w:pPr>
          </w:p>
        </w:tc>
        <w:tc>
          <w:tcPr>
            <w:tcW w:w="1652" w:type="dxa"/>
            <w:vAlign w:val="center"/>
          </w:tcPr>
          <w:p w14:paraId="4A7E3CD3">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387D38F3">
            <w:pPr>
              <w:spacing w:line="276" w:lineRule="auto"/>
              <w:jc w:val="center"/>
              <w:rPr>
                <w:rFonts w:ascii="宋体" w:hAnsi="宋体" w:cs="Calibri"/>
                <w:sz w:val="24"/>
                <w:highlight w:val="none"/>
              </w:rPr>
            </w:pPr>
          </w:p>
        </w:tc>
      </w:tr>
      <w:tr w14:paraId="52147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62783ED9">
            <w:pPr>
              <w:spacing w:line="276" w:lineRule="auto"/>
              <w:jc w:val="center"/>
              <w:rPr>
                <w:rFonts w:ascii="宋体" w:hAnsi="宋体" w:cs="Calibri"/>
                <w:sz w:val="24"/>
                <w:highlight w:val="none"/>
              </w:rPr>
            </w:pPr>
            <w:r>
              <w:rPr>
                <w:rFonts w:ascii="宋体" w:hAnsi="宋体" w:cs="Calibri"/>
                <w:sz w:val="24"/>
                <w:highlight w:val="none"/>
              </w:rPr>
              <w:t>成立时间</w:t>
            </w:r>
          </w:p>
        </w:tc>
        <w:tc>
          <w:tcPr>
            <w:tcW w:w="2064" w:type="dxa"/>
            <w:gridSpan w:val="2"/>
            <w:vAlign w:val="center"/>
          </w:tcPr>
          <w:p w14:paraId="6A8B0F2A">
            <w:pPr>
              <w:spacing w:line="276" w:lineRule="auto"/>
              <w:jc w:val="center"/>
              <w:rPr>
                <w:rFonts w:ascii="宋体" w:hAnsi="宋体" w:cs="Calibri"/>
                <w:sz w:val="24"/>
                <w:highlight w:val="none"/>
              </w:rPr>
            </w:pPr>
          </w:p>
        </w:tc>
        <w:tc>
          <w:tcPr>
            <w:tcW w:w="1102" w:type="dxa"/>
            <w:vMerge w:val="restart"/>
            <w:vAlign w:val="center"/>
          </w:tcPr>
          <w:p w14:paraId="411670E2">
            <w:pPr>
              <w:spacing w:line="276" w:lineRule="auto"/>
              <w:jc w:val="center"/>
              <w:rPr>
                <w:rFonts w:ascii="宋体" w:hAnsi="宋体" w:cs="Calibri"/>
                <w:sz w:val="24"/>
                <w:highlight w:val="none"/>
              </w:rPr>
            </w:pPr>
          </w:p>
          <w:p w14:paraId="37414F71">
            <w:pPr>
              <w:spacing w:line="276" w:lineRule="auto"/>
              <w:jc w:val="center"/>
              <w:rPr>
                <w:rFonts w:ascii="宋体" w:hAnsi="宋体" w:cs="Calibri"/>
                <w:sz w:val="24"/>
                <w:highlight w:val="none"/>
              </w:rPr>
            </w:pPr>
          </w:p>
          <w:p w14:paraId="6E9B91B0">
            <w:pPr>
              <w:spacing w:line="276" w:lineRule="auto"/>
              <w:jc w:val="center"/>
              <w:rPr>
                <w:rFonts w:ascii="宋体" w:hAnsi="宋体" w:cs="Calibri"/>
                <w:sz w:val="24"/>
                <w:highlight w:val="none"/>
              </w:rPr>
            </w:pPr>
          </w:p>
          <w:p w14:paraId="2523E1A7">
            <w:pPr>
              <w:spacing w:line="276" w:lineRule="auto"/>
              <w:jc w:val="center"/>
              <w:rPr>
                <w:rFonts w:ascii="宋体" w:hAnsi="宋体" w:cs="Calibri"/>
                <w:sz w:val="24"/>
                <w:highlight w:val="none"/>
              </w:rPr>
            </w:pPr>
            <w:r>
              <w:rPr>
                <w:rFonts w:ascii="宋体" w:hAnsi="宋体" w:cs="Calibri"/>
                <w:sz w:val="24"/>
                <w:highlight w:val="none"/>
              </w:rPr>
              <w:t>其中</w:t>
            </w:r>
          </w:p>
        </w:tc>
        <w:tc>
          <w:tcPr>
            <w:tcW w:w="3683" w:type="dxa"/>
            <w:gridSpan w:val="2"/>
            <w:vAlign w:val="center"/>
          </w:tcPr>
          <w:p w14:paraId="30E85B21">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现在岗</w:t>
            </w:r>
            <w:r>
              <w:rPr>
                <w:rFonts w:ascii="宋体" w:hAnsi="宋体" w:cs="Calibri"/>
                <w:sz w:val="24"/>
                <w:highlight w:val="none"/>
              </w:rPr>
              <w:t>员工总人数</w:t>
            </w:r>
          </w:p>
        </w:tc>
      </w:tr>
      <w:tr w14:paraId="0435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03C48E05">
            <w:pPr>
              <w:spacing w:line="276" w:lineRule="auto"/>
              <w:jc w:val="center"/>
              <w:rPr>
                <w:rFonts w:ascii="宋体" w:hAnsi="宋体" w:cs="Calibri"/>
                <w:sz w:val="24"/>
                <w:highlight w:val="none"/>
              </w:rPr>
            </w:pPr>
            <w:r>
              <w:rPr>
                <w:rFonts w:ascii="宋体" w:hAnsi="宋体" w:cs="Calibri"/>
                <w:sz w:val="24"/>
                <w:highlight w:val="none"/>
              </w:rPr>
              <w:t>企业资质等级</w:t>
            </w:r>
          </w:p>
        </w:tc>
        <w:tc>
          <w:tcPr>
            <w:tcW w:w="2064" w:type="dxa"/>
            <w:gridSpan w:val="2"/>
            <w:vAlign w:val="center"/>
          </w:tcPr>
          <w:p w14:paraId="57E34A83">
            <w:pPr>
              <w:spacing w:line="276" w:lineRule="auto"/>
              <w:jc w:val="center"/>
              <w:rPr>
                <w:rFonts w:ascii="宋体" w:hAnsi="宋体" w:cs="Calibri"/>
                <w:sz w:val="24"/>
                <w:highlight w:val="none"/>
              </w:rPr>
            </w:pPr>
          </w:p>
        </w:tc>
        <w:tc>
          <w:tcPr>
            <w:tcW w:w="1102" w:type="dxa"/>
            <w:vMerge w:val="continue"/>
            <w:vAlign w:val="center"/>
          </w:tcPr>
          <w:p w14:paraId="28B4A774">
            <w:pPr>
              <w:spacing w:line="276" w:lineRule="auto"/>
              <w:jc w:val="center"/>
              <w:rPr>
                <w:rFonts w:ascii="宋体" w:hAnsi="宋体" w:cs="Calibri"/>
                <w:sz w:val="24"/>
                <w:highlight w:val="none"/>
              </w:rPr>
            </w:pPr>
          </w:p>
        </w:tc>
        <w:tc>
          <w:tcPr>
            <w:tcW w:w="1652" w:type="dxa"/>
            <w:vMerge w:val="restart"/>
            <w:vAlign w:val="center"/>
          </w:tcPr>
          <w:p w14:paraId="438E48BF">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自有讲师</w:t>
            </w:r>
          </w:p>
        </w:tc>
        <w:tc>
          <w:tcPr>
            <w:tcW w:w="2031" w:type="dxa"/>
            <w:vMerge w:val="restart"/>
            <w:vAlign w:val="center"/>
          </w:tcPr>
          <w:p w14:paraId="004A90AB">
            <w:pPr>
              <w:tabs>
                <w:tab w:val="left" w:pos="690"/>
              </w:tabs>
              <w:spacing w:line="276" w:lineRule="auto"/>
              <w:jc w:val="center"/>
              <w:rPr>
                <w:rFonts w:ascii="宋体" w:hAnsi="宋体" w:cs="Calibri"/>
                <w:sz w:val="24"/>
                <w:highlight w:val="none"/>
              </w:rPr>
            </w:pPr>
          </w:p>
        </w:tc>
      </w:tr>
      <w:tr w14:paraId="265F6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6CA9F60">
            <w:pPr>
              <w:spacing w:line="276" w:lineRule="auto"/>
              <w:jc w:val="center"/>
              <w:rPr>
                <w:rFonts w:ascii="宋体" w:hAnsi="宋体" w:cs="Calibri"/>
                <w:sz w:val="24"/>
                <w:highlight w:val="none"/>
              </w:rPr>
            </w:pPr>
            <w:r>
              <w:rPr>
                <w:rFonts w:ascii="宋体" w:hAnsi="宋体" w:cs="Calibri"/>
                <w:sz w:val="24"/>
                <w:highlight w:val="none"/>
              </w:rPr>
              <w:t>营业执照号</w:t>
            </w:r>
          </w:p>
        </w:tc>
        <w:tc>
          <w:tcPr>
            <w:tcW w:w="2064" w:type="dxa"/>
            <w:gridSpan w:val="2"/>
            <w:vAlign w:val="center"/>
          </w:tcPr>
          <w:p w14:paraId="10AF16CA">
            <w:pPr>
              <w:spacing w:line="276" w:lineRule="auto"/>
              <w:jc w:val="center"/>
              <w:rPr>
                <w:rFonts w:ascii="宋体" w:hAnsi="宋体" w:cs="Calibri"/>
                <w:sz w:val="24"/>
                <w:highlight w:val="none"/>
              </w:rPr>
            </w:pPr>
          </w:p>
        </w:tc>
        <w:tc>
          <w:tcPr>
            <w:tcW w:w="1102" w:type="dxa"/>
            <w:vMerge w:val="continue"/>
            <w:vAlign w:val="center"/>
          </w:tcPr>
          <w:p w14:paraId="37645127">
            <w:pPr>
              <w:spacing w:line="276" w:lineRule="auto"/>
              <w:jc w:val="center"/>
              <w:rPr>
                <w:rFonts w:ascii="宋体" w:hAnsi="宋体" w:cs="Calibri"/>
                <w:sz w:val="24"/>
                <w:highlight w:val="none"/>
              </w:rPr>
            </w:pPr>
          </w:p>
        </w:tc>
        <w:tc>
          <w:tcPr>
            <w:tcW w:w="1652" w:type="dxa"/>
            <w:vMerge w:val="continue"/>
            <w:vAlign w:val="center"/>
          </w:tcPr>
          <w:p w14:paraId="0BCBFA2C">
            <w:pPr>
              <w:tabs>
                <w:tab w:val="left" w:pos="690"/>
              </w:tabs>
              <w:spacing w:line="276" w:lineRule="auto"/>
              <w:jc w:val="center"/>
              <w:rPr>
                <w:rFonts w:ascii="宋体" w:hAnsi="宋体" w:cs="Calibri"/>
                <w:sz w:val="24"/>
                <w:highlight w:val="none"/>
              </w:rPr>
            </w:pPr>
          </w:p>
        </w:tc>
        <w:tc>
          <w:tcPr>
            <w:tcW w:w="2031" w:type="dxa"/>
            <w:vMerge w:val="continue"/>
            <w:vAlign w:val="center"/>
          </w:tcPr>
          <w:p w14:paraId="31F0B7D8">
            <w:pPr>
              <w:tabs>
                <w:tab w:val="left" w:pos="690"/>
              </w:tabs>
              <w:spacing w:line="276" w:lineRule="auto"/>
              <w:jc w:val="center"/>
              <w:rPr>
                <w:rFonts w:ascii="宋体" w:hAnsi="宋体" w:cs="Calibri"/>
                <w:sz w:val="24"/>
                <w:highlight w:val="none"/>
              </w:rPr>
            </w:pPr>
          </w:p>
        </w:tc>
      </w:tr>
      <w:tr w14:paraId="1014F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553F11A">
            <w:pPr>
              <w:spacing w:line="276" w:lineRule="auto"/>
              <w:jc w:val="center"/>
              <w:rPr>
                <w:rFonts w:ascii="宋体" w:hAnsi="宋体" w:cs="Calibri"/>
                <w:sz w:val="24"/>
                <w:highlight w:val="none"/>
              </w:rPr>
            </w:pPr>
            <w:r>
              <w:rPr>
                <w:rFonts w:ascii="宋体" w:hAnsi="宋体" w:cs="Calibri"/>
                <w:sz w:val="24"/>
                <w:highlight w:val="none"/>
              </w:rPr>
              <w:t>注册资金</w:t>
            </w:r>
          </w:p>
        </w:tc>
        <w:tc>
          <w:tcPr>
            <w:tcW w:w="2064" w:type="dxa"/>
            <w:gridSpan w:val="2"/>
            <w:vAlign w:val="center"/>
          </w:tcPr>
          <w:p w14:paraId="245258E9">
            <w:pPr>
              <w:spacing w:line="276" w:lineRule="auto"/>
              <w:jc w:val="center"/>
              <w:rPr>
                <w:rFonts w:ascii="宋体" w:hAnsi="宋体" w:cs="Calibri"/>
                <w:sz w:val="24"/>
                <w:highlight w:val="none"/>
              </w:rPr>
            </w:pPr>
          </w:p>
        </w:tc>
        <w:tc>
          <w:tcPr>
            <w:tcW w:w="1102" w:type="dxa"/>
            <w:vMerge w:val="continue"/>
            <w:vAlign w:val="center"/>
          </w:tcPr>
          <w:p w14:paraId="53CC9E03">
            <w:pPr>
              <w:spacing w:line="276" w:lineRule="auto"/>
              <w:jc w:val="center"/>
              <w:rPr>
                <w:rFonts w:ascii="宋体" w:hAnsi="宋体" w:cs="Calibri"/>
                <w:sz w:val="24"/>
                <w:highlight w:val="none"/>
              </w:rPr>
            </w:pPr>
          </w:p>
        </w:tc>
        <w:tc>
          <w:tcPr>
            <w:tcW w:w="1652" w:type="dxa"/>
            <w:vMerge w:val="restart"/>
            <w:vAlign w:val="center"/>
          </w:tcPr>
          <w:p w14:paraId="7DA6E24C">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兼职教师</w:t>
            </w:r>
          </w:p>
        </w:tc>
        <w:tc>
          <w:tcPr>
            <w:tcW w:w="2031" w:type="dxa"/>
            <w:vMerge w:val="restart"/>
            <w:vAlign w:val="center"/>
          </w:tcPr>
          <w:p w14:paraId="786F1ED7">
            <w:pPr>
              <w:tabs>
                <w:tab w:val="left" w:pos="690"/>
              </w:tabs>
              <w:spacing w:line="276" w:lineRule="auto"/>
              <w:jc w:val="center"/>
              <w:rPr>
                <w:rFonts w:ascii="宋体" w:hAnsi="宋体" w:cs="Calibri"/>
                <w:sz w:val="24"/>
                <w:highlight w:val="none"/>
              </w:rPr>
            </w:pPr>
          </w:p>
        </w:tc>
      </w:tr>
      <w:tr w14:paraId="0C93E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1294A5B">
            <w:pPr>
              <w:spacing w:line="276" w:lineRule="auto"/>
              <w:jc w:val="center"/>
              <w:rPr>
                <w:rFonts w:ascii="宋体" w:hAnsi="宋体" w:cs="Calibri"/>
                <w:sz w:val="24"/>
                <w:highlight w:val="none"/>
              </w:rPr>
            </w:pPr>
            <w:r>
              <w:rPr>
                <w:rFonts w:ascii="宋体" w:hAnsi="宋体" w:cs="Calibri"/>
                <w:sz w:val="24"/>
                <w:highlight w:val="none"/>
              </w:rPr>
              <w:t>开户银行</w:t>
            </w:r>
          </w:p>
        </w:tc>
        <w:tc>
          <w:tcPr>
            <w:tcW w:w="2064" w:type="dxa"/>
            <w:gridSpan w:val="2"/>
            <w:vAlign w:val="center"/>
          </w:tcPr>
          <w:p w14:paraId="503F0B20">
            <w:pPr>
              <w:spacing w:line="276" w:lineRule="auto"/>
              <w:jc w:val="center"/>
              <w:rPr>
                <w:rFonts w:ascii="宋体" w:hAnsi="宋体" w:cs="Calibri"/>
                <w:sz w:val="24"/>
                <w:highlight w:val="none"/>
              </w:rPr>
            </w:pPr>
          </w:p>
        </w:tc>
        <w:tc>
          <w:tcPr>
            <w:tcW w:w="1102" w:type="dxa"/>
            <w:vMerge w:val="continue"/>
            <w:vAlign w:val="center"/>
          </w:tcPr>
          <w:p w14:paraId="3B7900C9">
            <w:pPr>
              <w:spacing w:line="276" w:lineRule="auto"/>
              <w:jc w:val="center"/>
              <w:rPr>
                <w:rFonts w:ascii="宋体" w:hAnsi="宋体" w:cs="Calibri"/>
                <w:sz w:val="24"/>
                <w:highlight w:val="none"/>
              </w:rPr>
            </w:pPr>
          </w:p>
        </w:tc>
        <w:tc>
          <w:tcPr>
            <w:tcW w:w="1652" w:type="dxa"/>
            <w:vMerge w:val="continue"/>
            <w:vAlign w:val="center"/>
          </w:tcPr>
          <w:p w14:paraId="715B7277">
            <w:pPr>
              <w:tabs>
                <w:tab w:val="left" w:pos="690"/>
              </w:tabs>
              <w:spacing w:line="276" w:lineRule="auto"/>
              <w:jc w:val="center"/>
              <w:rPr>
                <w:rFonts w:ascii="宋体" w:hAnsi="宋体" w:cs="Calibri"/>
                <w:sz w:val="24"/>
                <w:highlight w:val="none"/>
              </w:rPr>
            </w:pPr>
          </w:p>
        </w:tc>
        <w:tc>
          <w:tcPr>
            <w:tcW w:w="2031" w:type="dxa"/>
            <w:vMerge w:val="continue"/>
            <w:vAlign w:val="center"/>
          </w:tcPr>
          <w:p w14:paraId="404AA0CD">
            <w:pPr>
              <w:tabs>
                <w:tab w:val="left" w:pos="690"/>
              </w:tabs>
              <w:spacing w:line="276" w:lineRule="auto"/>
              <w:jc w:val="center"/>
              <w:rPr>
                <w:rFonts w:ascii="宋体" w:hAnsi="宋体" w:cs="Calibri"/>
                <w:sz w:val="24"/>
                <w:highlight w:val="none"/>
              </w:rPr>
            </w:pPr>
          </w:p>
        </w:tc>
      </w:tr>
      <w:tr w14:paraId="31EEA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EA240EE">
            <w:pPr>
              <w:spacing w:line="276" w:lineRule="auto"/>
              <w:jc w:val="center"/>
              <w:rPr>
                <w:rFonts w:ascii="宋体" w:hAnsi="宋体" w:cs="Calibri"/>
                <w:sz w:val="24"/>
                <w:highlight w:val="none"/>
              </w:rPr>
            </w:pPr>
            <w:r>
              <w:rPr>
                <w:rFonts w:ascii="宋体" w:hAnsi="宋体" w:cs="Calibri"/>
                <w:sz w:val="24"/>
                <w:highlight w:val="none"/>
              </w:rPr>
              <w:t>银行账号</w:t>
            </w:r>
          </w:p>
        </w:tc>
        <w:tc>
          <w:tcPr>
            <w:tcW w:w="2064" w:type="dxa"/>
            <w:gridSpan w:val="2"/>
            <w:vAlign w:val="center"/>
          </w:tcPr>
          <w:p w14:paraId="441360C8">
            <w:pPr>
              <w:spacing w:line="276" w:lineRule="auto"/>
              <w:jc w:val="center"/>
              <w:rPr>
                <w:rFonts w:ascii="宋体" w:hAnsi="宋体" w:cs="Calibri"/>
                <w:sz w:val="24"/>
                <w:highlight w:val="none"/>
              </w:rPr>
            </w:pPr>
          </w:p>
        </w:tc>
        <w:tc>
          <w:tcPr>
            <w:tcW w:w="1102" w:type="dxa"/>
            <w:vMerge w:val="continue"/>
            <w:vAlign w:val="center"/>
          </w:tcPr>
          <w:p w14:paraId="506D7B21">
            <w:pPr>
              <w:spacing w:line="276" w:lineRule="auto"/>
              <w:jc w:val="center"/>
              <w:rPr>
                <w:rFonts w:ascii="宋体" w:hAnsi="宋体" w:cs="Calibri"/>
                <w:sz w:val="24"/>
                <w:highlight w:val="none"/>
              </w:rPr>
            </w:pPr>
          </w:p>
        </w:tc>
        <w:tc>
          <w:tcPr>
            <w:tcW w:w="1652" w:type="dxa"/>
            <w:vMerge w:val="continue"/>
            <w:vAlign w:val="center"/>
          </w:tcPr>
          <w:p w14:paraId="59DEA143">
            <w:pPr>
              <w:tabs>
                <w:tab w:val="left" w:pos="690"/>
              </w:tabs>
              <w:spacing w:line="276" w:lineRule="auto"/>
              <w:jc w:val="center"/>
              <w:rPr>
                <w:rFonts w:ascii="宋体" w:hAnsi="宋体" w:cs="Calibri"/>
                <w:sz w:val="24"/>
                <w:highlight w:val="none"/>
              </w:rPr>
            </w:pPr>
          </w:p>
        </w:tc>
        <w:tc>
          <w:tcPr>
            <w:tcW w:w="2031" w:type="dxa"/>
            <w:vMerge w:val="continue"/>
            <w:vAlign w:val="center"/>
          </w:tcPr>
          <w:p w14:paraId="6641786D">
            <w:pPr>
              <w:tabs>
                <w:tab w:val="left" w:pos="690"/>
              </w:tabs>
              <w:spacing w:line="276" w:lineRule="auto"/>
              <w:jc w:val="center"/>
              <w:rPr>
                <w:rFonts w:ascii="宋体" w:hAnsi="宋体" w:cs="Calibri"/>
                <w:sz w:val="24"/>
                <w:highlight w:val="none"/>
              </w:rPr>
            </w:pPr>
          </w:p>
        </w:tc>
      </w:tr>
      <w:tr w14:paraId="75036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45175DCA">
            <w:pPr>
              <w:tabs>
                <w:tab w:val="left" w:pos="690"/>
              </w:tabs>
              <w:spacing w:line="276" w:lineRule="auto"/>
              <w:jc w:val="left"/>
              <w:rPr>
                <w:sz w:val="24"/>
                <w:szCs w:val="22"/>
                <w:highlight w:val="none"/>
              </w:rPr>
            </w:pPr>
            <w:r>
              <w:rPr>
                <w:sz w:val="24"/>
                <w:szCs w:val="22"/>
                <w:highlight w:val="none"/>
              </w:rPr>
              <w:t>经营范围</w:t>
            </w:r>
            <w:r>
              <w:rPr>
                <w:rFonts w:hint="eastAsia"/>
                <w:sz w:val="24"/>
                <w:szCs w:val="22"/>
                <w:highlight w:val="none"/>
              </w:rPr>
              <w:t>：</w:t>
            </w:r>
          </w:p>
          <w:p w14:paraId="60BF7CC2">
            <w:pPr>
              <w:pStyle w:val="3"/>
              <w:rPr>
                <w:highlight w:val="none"/>
              </w:rPr>
            </w:pPr>
          </w:p>
          <w:p w14:paraId="5781FE27">
            <w:pPr>
              <w:rPr>
                <w:highlight w:val="none"/>
              </w:rPr>
            </w:pPr>
          </w:p>
          <w:p w14:paraId="649020A5">
            <w:pPr>
              <w:pStyle w:val="3"/>
              <w:rPr>
                <w:highlight w:val="none"/>
              </w:rPr>
            </w:pPr>
          </w:p>
        </w:tc>
      </w:tr>
    </w:tbl>
    <w:p w14:paraId="5EE49423">
      <w:pPr>
        <w:pStyle w:val="7"/>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投标人：（盖章）</w:t>
      </w:r>
    </w:p>
    <w:p w14:paraId="6CA50E11">
      <w:pPr>
        <w:spacing w:line="660" w:lineRule="exact"/>
        <w:rPr>
          <w:rFonts w:ascii="宋体" w:hAnsi="宋体" w:cs="宋体"/>
          <w:sz w:val="24"/>
          <w:szCs w:val="24"/>
          <w:highlight w:val="none"/>
        </w:rPr>
      </w:pPr>
      <w:r>
        <w:rPr>
          <w:rFonts w:hint="eastAsia" w:ascii="宋体" w:hAnsi="宋体" w:cs="宋体"/>
          <w:sz w:val="24"/>
          <w:szCs w:val="24"/>
          <w:highlight w:val="none"/>
        </w:rPr>
        <w:t>法定代表人（委托代理人）：（签字）</w:t>
      </w:r>
    </w:p>
    <w:p w14:paraId="0FD93407">
      <w:pPr>
        <w:pStyle w:val="7"/>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日期：    年    月   日</w:t>
      </w:r>
    </w:p>
    <w:p w14:paraId="2DEC4E41">
      <w:pPr>
        <w:rPr>
          <w:rFonts w:ascii="宋体" w:hAnsi="宋体" w:cs="宋体"/>
          <w:sz w:val="24"/>
          <w:szCs w:val="24"/>
          <w:highlight w:val="none"/>
        </w:rPr>
      </w:pPr>
    </w:p>
    <w:p w14:paraId="6AC2FFCA">
      <w:pPr>
        <w:pStyle w:val="13"/>
        <w:rPr>
          <w:rFonts w:ascii="宋体" w:hAnsi="宋体" w:cs="宋体"/>
          <w:sz w:val="24"/>
          <w:szCs w:val="24"/>
          <w:highlight w:val="none"/>
        </w:rPr>
      </w:pPr>
    </w:p>
    <w:p w14:paraId="5F114419">
      <w:pPr>
        <w:pStyle w:val="13"/>
        <w:rPr>
          <w:rFonts w:ascii="宋体" w:hAnsi="宋体" w:cs="宋体"/>
          <w:sz w:val="24"/>
          <w:szCs w:val="24"/>
          <w:highlight w:val="none"/>
        </w:rPr>
        <w:sectPr>
          <w:footerReference r:id="rId6" w:type="first"/>
          <w:footerReference r:id="rId5" w:type="default"/>
          <w:pgSz w:w="11906" w:h="16838"/>
          <w:pgMar w:top="1588" w:right="1418" w:bottom="1134" w:left="1418" w:header="851" w:footer="992" w:gutter="0"/>
          <w:pgNumType w:fmt="decimal" w:start="1"/>
          <w:cols w:space="720" w:num="1"/>
          <w:titlePg/>
          <w:docGrid w:type="lines" w:linePitch="312" w:charSpace="0"/>
        </w:sectPr>
      </w:pPr>
    </w:p>
    <w:p w14:paraId="69F0F9EE">
      <w:pPr>
        <w:rPr>
          <w:rFonts w:ascii="宋体" w:hAnsi="宋体" w:cs="宋体"/>
          <w:sz w:val="24"/>
          <w:szCs w:val="24"/>
          <w:highlight w:val="none"/>
        </w:rPr>
      </w:pPr>
      <w:bookmarkStart w:id="16" w:name="_Toc32286"/>
      <w:r>
        <w:rPr>
          <w:rFonts w:hint="eastAsia" w:ascii="宋体" w:hAnsi="宋体" w:cs="宋体"/>
          <w:sz w:val="24"/>
          <w:szCs w:val="24"/>
          <w:highlight w:val="none"/>
        </w:rPr>
        <w:t>附件3</w:t>
      </w:r>
      <w:bookmarkEnd w:id="16"/>
    </w:p>
    <w:p w14:paraId="50108E7E">
      <w:pPr>
        <w:rPr>
          <w:rFonts w:eastAsia="黑体"/>
          <w:b/>
          <w:bCs/>
          <w:sz w:val="28"/>
          <w:highlight w:val="none"/>
        </w:rPr>
      </w:pPr>
      <w:r>
        <w:rPr>
          <w:rFonts w:hint="eastAsia" w:eastAsia="黑体"/>
          <w:b/>
          <w:bCs/>
          <w:sz w:val="28"/>
          <w:highlight w:val="none"/>
        </w:rPr>
        <w:t>《开标一览表》单独封存，以备唱标使用</w:t>
      </w:r>
    </w:p>
    <w:p w14:paraId="7DFD0176">
      <w:pPr>
        <w:jc w:val="center"/>
        <w:rPr>
          <w:rFonts w:ascii="黑体" w:eastAsia="黑体"/>
          <w:sz w:val="30"/>
          <w:highlight w:val="none"/>
        </w:rPr>
      </w:pPr>
      <w:r>
        <w:rPr>
          <w:rFonts w:hint="eastAsia" w:ascii="黑体" w:eastAsia="黑体"/>
          <w:sz w:val="30"/>
          <w:highlight w:val="none"/>
        </w:rPr>
        <w:t>开标一览表</w:t>
      </w:r>
    </w:p>
    <w:tbl>
      <w:tblPr>
        <w:tblStyle w:val="20"/>
        <w:tblpPr w:leftFromText="180" w:rightFromText="180" w:vertAnchor="text" w:horzAnchor="page" w:tblpX="1439" w:tblpY="99"/>
        <w:tblOverlap w:val="never"/>
        <w:tblW w:w="138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0"/>
        <w:gridCol w:w="3365"/>
        <w:gridCol w:w="2009"/>
        <w:gridCol w:w="2251"/>
        <w:gridCol w:w="1677"/>
        <w:gridCol w:w="17"/>
        <w:gridCol w:w="2187"/>
        <w:gridCol w:w="1191"/>
      </w:tblGrid>
      <w:tr w14:paraId="15016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3B2D5947">
            <w:pPr>
              <w:jc w:val="center"/>
              <w:rPr>
                <w:rFonts w:ascii="宋体" w:hAnsi="宋体"/>
                <w:sz w:val="24"/>
                <w:highlight w:val="none"/>
              </w:rPr>
            </w:pPr>
            <w:r>
              <w:rPr>
                <w:rFonts w:hint="eastAsia" w:ascii="黑体" w:hAnsi="黑体" w:eastAsia="黑体" w:cs="宋体"/>
                <w:color w:val="000000"/>
                <w:kern w:val="0"/>
                <w:sz w:val="24"/>
                <w:highlight w:val="none"/>
              </w:rPr>
              <w:t>序号</w:t>
            </w:r>
          </w:p>
        </w:tc>
        <w:tc>
          <w:tcPr>
            <w:tcW w:w="3365" w:type="dxa"/>
            <w:vAlign w:val="center"/>
          </w:tcPr>
          <w:p w14:paraId="57DB2B10">
            <w:pPr>
              <w:jc w:val="center"/>
              <w:rPr>
                <w:rFonts w:hint="default" w:ascii="黑体" w:hAnsi="黑体" w:eastAsia="黑体" w:cs="宋体"/>
                <w:color w:val="000000"/>
                <w:kern w:val="0"/>
                <w:sz w:val="24"/>
                <w:highlight w:val="none"/>
                <w:lang w:val="en-US" w:eastAsia="zh-CN"/>
              </w:rPr>
            </w:pPr>
            <w:r>
              <w:rPr>
                <w:rFonts w:hint="eastAsia" w:ascii="黑体" w:hAnsi="黑体" w:eastAsia="黑体" w:cs="宋体"/>
                <w:color w:val="000000"/>
                <w:kern w:val="0"/>
                <w:sz w:val="24"/>
                <w:highlight w:val="none"/>
                <w:lang w:val="en-US" w:eastAsia="zh-CN"/>
              </w:rPr>
              <w:t>物资/服务/...名称</w:t>
            </w:r>
          </w:p>
        </w:tc>
        <w:tc>
          <w:tcPr>
            <w:tcW w:w="2009" w:type="dxa"/>
            <w:vAlign w:val="center"/>
          </w:tcPr>
          <w:p w14:paraId="40A09102">
            <w:pPr>
              <w:jc w:val="center"/>
              <w:rPr>
                <w:rFonts w:hint="eastAsia" w:ascii="黑体" w:hAnsi="黑体" w:eastAsia="黑体" w:cs="黑体"/>
                <w:sz w:val="24"/>
                <w:szCs w:val="24"/>
                <w:highlight w:val="none"/>
                <w:lang w:val="en-US" w:eastAsia="zh-CN"/>
              </w:rPr>
            </w:pPr>
            <w:r>
              <w:rPr>
                <w:rFonts w:hint="eastAsia" w:ascii="黑体" w:hAnsi="黑体" w:eastAsia="黑体" w:cs="黑体"/>
                <w:sz w:val="24"/>
                <w:szCs w:val="24"/>
                <w:highlight w:val="none"/>
                <w:lang w:val="en-US" w:eastAsia="zh-CN"/>
              </w:rPr>
              <w:t>未税</w:t>
            </w:r>
            <w:r>
              <w:rPr>
                <w:rFonts w:hint="eastAsia" w:ascii="黑体" w:hAnsi="黑体" w:eastAsia="黑体" w:cs="黑体"/>
                <w:sz w:val="24"/>
                <w:szCs w:val="24"/>
                <w:highlight w:val="none"/>
              </w:rPr>
              <w:t>单价</w:t>
            </w:r>
            <w:r>
              <w:rPr>
                <w:rFonts w:hint="eastAsia" w:ascii="黑体" w:hAnsi="黑体" w:eastAsia="黑体" w:cs="黑体"/>
                <w:sz w:val="24"/>
                <w:szCs w:val="24"/>
                <w:highlight w:val="none"/>
                <w:lang w:eastAsia="zh-CN"/>
              </w:rPr>
              <w:t>（</w:t>
            </w:r>
            <w:r>
              <w:rPr>
                <w:rFonts w:hint="eastAsia" w:ascii="黑体" w:hAnsi="黑体" w:eastAsia="黑体" w:cs="黑体"/>
                <w:sz w:val="24"/>
                <w:szCs w:val="24"/>
                <w:highlight w:val="none"/>
                <w:lang w:val="en-US" w:eastAsia="zh-CN"/>
              </w:rPr>
              <w:t>元</w:t>
            </w:r>
            <w:r>
              <w:rPr>
                <w:rFonts w:hint="eastAsia" w:ascii="黑体" w:hAnsi="黑体" w:eastAsia="黑体" w:cs="黑体"/>
                <w:sz w:val="24"/>
                <w:szCs w:val="24"/>
                <w:highlight w:val="none"/>
                <w:lang w:eastAsia="zh-CN"/>
              </w:rPr>
              <w:t>）</w:t>
            </w:r>
          </w:p>
        </w:tc>
        <w:tc>
          <w:tcPr>
            <w:tcW w:w="2251" w:type="dxa"/>
            <w:vAlign w:val="center"/>
          </w:tcPr>
          <w:p w14:paraId="65879285">
            <w:pPr>
              <w:jc w:val="center"/>
              <w:rPr>
                <w:rFonts w:hint="eastAsia" w:ascii="黑体" w:hAnsi="黑体" w:eastAsia="黑体" w:cs="黑体"/>
                <w:kern w:val="2"/>
                <w:sz w:val="24"/>
                <w:szCs w:val="24"/>
                <w:highlight w:val="none"/>
                <w:lang w:val="en-US" w:eastAsia="zh-CN"/>
              </w:rPr>
            </w:pPr>
            <w:r>
              <w:rPr>
                <w:rFonts w:hint="eastAsia" w:ascii="黑体" w:hAnsi="黑体" w:eastAsia="黑体" w:cs="黑体"/>
                <w:kern w:val="2"/>
                <w:sz w:val="24"/>
                <w:szCs w:val="24"/>
                <w:highlight w:val="none"/>
                <w:lang w:val="en-US" w:eastAsia="zh-CN"/>
              </w:rPr>
              <w:t>计量单位</w:t>
            </w:r>
          </w:p>
        </w:tc>
        <w:tc>
          <w:tcPr>
            <w:tcW w:w="1677" w:type="dxa"/>
            <w:vAlign w:val="center"/>
          </w:tcPr>
          <w:p w14:paraId="24290727">
            <w:pPr>
              <w:jc w:val="center"/>
              <w:rPr>
                <w:rFonts w:hint="eastAsia" w:ascii="Times New Roman" w:hAnsi="Times New Roman" w:eastAsia="黑体" w:cs="Times New Roman"/>
                <w:color w:val="000000"/>
                <w:kern w:val="2"/>
                <w:sz w:val="21"/>
                <w:highlight w:val="none"/>
              </w:rPr>
            </w:pPr>
            <w:r>
              <w:rPr>
                <w:rFonts w:hint="default" w:ascii="黑体" w:hAnsi="黑体" w:eastAsia="黑体" w:cs="黑体"/>
                <w:color w:val="000000"/>
                <w:kern w:val="2"/>
                <w:sz w:val="24"/>
                <w:szCs w:val="24"/>
                <w:highlight w:val="none"/>
              </w:rPr>
              <w:t>数量</w:t>
            </w:r>
          </w:p>
        </w:tc>
        <w:tc>
          <w:tcPr>
            <w:tcW w:w="2204" w:type="dxa"/>
            <w:gridSpan w:val="2"/>
            <w:vAlign w:val="center"/>
          </w:tcPr>
          <w:p w14:paraId="138AEF60">
            <w:pPr>
              <w:jc w:val="center"/>
              <w:rPr>
                <w:rFonts w:hint="eastAsia" w:ascii="黑体" w:hAnsi="黑体" w:eastAsia="黑体" w:cs="黑体"/>
                <w:sz w:val="24"/>
                <w:szCs w:val="24"/>
                <w:highlight w:val="none"/>
              </w:rPr>
            </w:pPr>
            <w:r>
              <w:rPr>
                <w:rFonts w:hint="eastAsia" w:ascii="黑体" w:hAnsi="黑体" w:eastAsia="黑体" w:cs="黑体"/>
                <w:sz w:val="24"/>
                <w:szCs w:val="24"/>
                <w:highlight w:val="none"/>
                <w:lang w:val="en-US" w:eastAsia="zh-CN"/>
              </w:rPr>
              <w:t>未税</w:t>
            </w:r>
            <w:r>
              <w:rPr>
                <w:rFonts w:hint="eastAsia" w:ascii="黑体" w:hAnsi="黑体" w:eastAsia="黑体" w:cs="黑体"/>
                <w:sz w:val="24"/>
                <w:szCs w:val="24"/>
                <w:highlight w:val="none"/>
              </w:rPr>
              <w:t>总价</w:t>
            </w:r>
            <w:r>
              <w:rPr>
                <w:rFonts w:hint="eastAsia" w:ascii="黑体" w:hAnsi="黑体" w:eastAsia="黑体" w:cs="黑体"/>
                <w:sz w:val="24"/>
                <w:szCs w:val="24"/>
                <w:highlight w:val="none"/>
                <w:lang w:eastAsia="zh-CN"/>
              </w:rPr>
              <w:t>（</w:t>
            </w:r>
            <w:r>
              <w:rPr>
                <w:rFonts w:hint="eastAsia" w:ascii="黑体" w:hAnsi="黑体" w:eastAsia="黑体" w:cs="黑体"/>
                <w:sz w:val="24"/>
                <w:szCs w:val="24"/>
                <w:highlight w:val="none"/>
                <w:lang w:val="en-US" w:eastAsia="zh-CN"/>
              </w:rPr>
              <w:t>元</w:t>
            </w:r>
            <w:r>
              <w:rPr>
                <w:rFonts w:hint="eastAsia" w:ascii="黑体" w:hAnsi="黑体" w:eastAsia="黑体" w:cs="黑体"/>
                <w:sz w:val="24"/>
                <w:szCs w:val="24"/>
                <w:highlight w:val="none"/>
                <w:lang w:eastAsia="zh-CN"/>
              </w:rPr>
              <w:t>）</w:t>
            </w:r>
          </w:p>
        </w:tc>
        <w:tc>
          <w:tcPr>
            <w:tcW w:w="1191" w:type="dxa"/>
            <w:vAlign w:val="center"/>
          </w:tcPr>
          <w:p w14:paraId="56C7270E">
            <w:pPr>
              <w:jc w:val="center"/>
              <w:rPr>
                <w:rFonts w:ascii="黑体" w:hAnsi="黑体" w:eastAsia="黑体" w:cs="宋体"/>
                <w:color w:val="000000"/>
                <w:kern w:val="0"/>
                <w:sz w:val="24"/>
                <w:highlight w:val="none"/>
              </w:rPr>
            </w:pPr>
            <w:r>
              <w:rPr>
                <w:rFonts w:hint="eastAsia" w:ascii="黑体" w:hAnsi="黑体" w:eastAsia="黑体" w:cs="宋体"/>
                <w:color w:val="000000"/>
                <w:kern w:val="0"/>
                <w:sz w:val="24"/>
                <w:highlight w:val="none"/>
                <w:lang w:val="en-US" w:eastAsia="zh-CN"/>
              </w:rPr>
              <w:t>备注</w:t>
            </w:r>
          </w:p>
        </w:tc>
      </w:tr>
      <w:tr w14:paraId="4936C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48DB0405">
            <w:pPr>
              <w:jc w:val="center"/>
              <w:rPr>
                <w:rFonts w:hint="eastAsia" w:ascii="宋体" w:hAnsi="宋体" w:eastAsia="宋体" w:cs="Times New Roman"/>
                <w:color w:val="FF0000"/>
                <w:kern w:val="2"/>
                <w:sz w:val="24"/>
                <w:highlight w:val="none"/>
                <w:lang w:val="en-US" w:eastAsia="zh-CN"/>
              </w:rPr>
            </w:pPr>
            <w:r>
              <w:rPr>
                <w:rFonts w:hint="eastAsia" w:ascii="宋体" w:hAnsi="宋体" w:eastAsia="宋体" w:cs="Times New Roman"/>
                <w:color w:val="FF0000"/>
                <w:kern w:val="2"/>
                <w:sz w:val="24"/>
                <w:highlight w:val="none"/>
                <w:lang w:val="en-US" w:eastAsia="zh-CN"/>
              </w:rPr>
              <w:t>填写</w:t>
            </w:r>
          </w:p>
          <w:p w14:paraId="68400F46">
            <w:pPr>
              <w:jc w:val="center"/>
              <w:rPr>
                <w:rFonts w:hint="default" w:ascii="宋体" w:hAnsi="宋体" w:eastAsia="宋体" w:cs="Times New Roman"/>
                <w:color w:val="FF0000"/>
                <w:kern w:val="2"/>
                <w:sz w:val="24"/>
                <w:highlight w:val="none"/>
                <w:lang w:val="en-US" w:eastAsia="zh-CN"/>
              </w:rPr>
            </w:pPr>
            <w:r>
              <w:rPr>
                <w:rFonts w:hint="eastAsia" w:ascii="宋体" w:hAnsi="宋体" w:eastAsia="宋体" w:cs="Times New Roman"/>
                <w:color w:val="FF0000"/>
                <w:kern w:val="2"/>
                <w:sz w:val="24"/>
                <w:highlight w:val="none"/>
                <w:lang w:val="en-US" w:eastAsia="zh-CN"/>
              </w:rPr>
              <w:t>示例</w:t>
            </w:r>
          </w:p>
        </w:tc>
        <w:tc>
          <w:tcPr>
            <w:tcW w:w="3365" w:type="dxa"/>
            <w:vAlign w:val="center"/>
          </w:tcPr>
          <w:p w14:paraId="480AAE90">
            <w:pPr>
              <w:jc w:val="center"/>
              <w:rPr>
                <w:rFonts w:hint="eastAsia" w:ascii="宋体" w:hAnsi="宋体" w:eastAsia="宋体"/>
                <w:color w:val="FF0000"/>
                <w:sz w:val="24"/>
                <w:highlight w:val="none"/>
                <w:lang w:val="en-US" w:eastAsia="zh-CN"/>
              </w:rPr>
            </w:pPr>
            <w:r>
              <w:rPr>
                <w:rFonts w:hint="eastAsia" w:ascii="宋体" w:hAnsi="宋体"/>
                <w:color w:val="FF0000"/>
                <w:sz w:val="24"/>
                <w:highlight w:val="none"/>
                <w:lang w:val="en-US" w:eastAsia="zh-CN"/>
              </w:rPr>
              <w:t>XXX</w:t>
            </w:r>
          </w:p>
        </w:tc>
        <w:tc>
          <w:tcPr>
            <w:tcW w:w="2009" w:type="dxa"/>
            <w:vAlign w:val="center"/>
          </w:tcPr>
          <w:p w14:paraId="31BEE147">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w:t>
            </w:r>
          </w:p>
        </w:tc>
        <w:tc>
          <w:tcPr>
            <w:tcW w:w="2251" w:type="dxa"/>
            <w:vAlign w:val="center"/>
          </w:tcPr>
          <w:p w14:paraId="76AC4AE8">
            <w:pPr>
              <w:jc w:val="center"/>
              <w:rPr>
                <w:rFonts w:hint="default" w:ascii="宋体" w:hAnsi="宋体"/>
                <w:color w:val="FF0000"/>
                <w:sz w:val="24"/>
                <w:highlight w:val="none"/>
                <w:lang w:val="en-US" w:eastAsia="zh-CN"/>
              </w:rPr>
            </w:pPr>
            <w:r>
              <w:rPr>
                <w:rFonts w:hint="eastAsia" w:ascii="宋体" w:hAnsi="宋体"/>
                <w:color w:val="FF0000"/>
                <w:sz w:val="24"/>
                <w:highlight w:val="none"/>
                <w:lang w:val="en-US" w:eastAsia="zh-CN"/>
              </w:rPr>
              <w:t>XX</w:t>
            </w:r>
          </w:p>
        </w:tc>
        <w:tc>
          <w:tcPr>
            <w:tcW w:w="1677" w:type="dxa"/>
            <w:vAlign w:val="center"/>
          </w:tcPr>
          <w:p w14:paraId="13933BE1">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w:t>
            </w:r>
          </w:p>
        </w:tc>
        <w:tc>
          <w:tcPr>
            <w:tcW w:w="2204" w:type="dxa"/>
            <w:gridSpan w:val="2"/>
            <w:vAlign w:val="center"/>
          </w:tcPr>
          <w:p w14:paraId="5CC7D4D9">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XXXXX元</w:t>
            </w:r>
          </w:p>
        </w:tc>
        <w:tc>
          <w:tcPr>
            <w:tcW w:w="1191" w:type="dxa"/>
            <w:vAlign w:val="center"/>
          </w:tcPr>
          <w:p w14:paraId="4ACAED71">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税率6%</w:t>
            </w:r>
          </w:p>
        </w:tc>
      </w:tr>
      <w:tr w14:paraId="7D7F9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4E3DD891">
            <w:pPr>
              <w:jc w:val="center"/>
              <w:rPr>
                <w:rFonts w:ascii="黑体" w:hAnsi="黑体" w:eastAsia="黑体" w:cs="宋体"/>
                <w:color w:val="000000"/>
                <w:kern w:val="0"/>
                <w:sz w:val="24"/>
                <w:highlight w:val="none"/>
              </w:rPr>
            </w:pPr>
          </w:p>
        </w:tc>
        <w:tc>
          <w:tcPr>
            <w:tcW w:w="3365" w:type="dxa"/>
            <w:vAlign w:val="center"/>
          </w:tcPr>
          <w:p w14:paraId="3DCA65A5">
            <w:pPr>
              <w:rPr>
                <w:rFonts w:ascii="宋体" w:hAnsi="宋体"/>
                <w:sz w:val="24"/>
                <w:highlight w:val="none"/>
              </w:rPr>
            </w:pPr>
          </w:p>
        </w:tc>
        <w:tc>
          <w:tcPr>
            <w:tcW w:w="2009" w:type="dxa"/>
            <w:vAlign w:val="center"/>
          </w:tcPr>
          <w:p w14:paraId="6D6A0A49">
            <w:pPr>
              <w:rPr>
                <w:rFonts w:ascii="宋体" w:hAnsi="宋体"/>
                <w:sz w:val="24"/>
                <w:highlight w:val="none"/>
              </w:rPr>
            </w:pPr>
          </w:p>
        </w:tc>
        <w:tc>
          <w:tcPr>
            <w:tcW w:w="2251" w:type="dxa"/>
            <w:vAlign w:val="center"/>
          </w:tcPr>
          <w:p w14:paraId="3B85B5BD">
            <w:pPr>
              <w:rPr>
                <w:rFonts w:ascii="宋体" w:hAnsi="宋体"/>
                <w:sz w:val="24"/>
                <w:highlight w:val="none"/>
              </w:rPr>
            </w:pPr>
          </w:p>
        </w:tc>
        <w:tc>
          <w:tcPr>
            <w:tcW w:w="1677" w:type="dxa"/>
            <w:vAlign w:val="center"/>
          </w:tcPr>
          <w:p w14:paraId="03B904C2">
            <w:pPr>
              <w:rPr>
                <w:rFonts w:ascii="宋体" w:hAnsi="宋体"/>
                <w:sz w:val="24"/>
                <w:highlight w:val="none"/>
              </w:rPr>
            </w:pPr>
          </w:p>
        </w:tc>
        <w:tc>
          <w:tcPr>
            <w:tcW w:w="2204" w:type="dxa"/>
            <w:gridSpan w:val="2"/>
            <w:vAlign w:val="center"/>
          </w:tcPr>
          <w:p w14:paraId="383E3D74">
            <w:pPr>
              <w:rPr>
                <w:rFonts w:ascii="宋体" w:hAnsi="宋体"/>
                <w:sz w:val="24"/>
                <w:highlight w:val="none"/>
              </w:rPr>
            </w:pPr>
          </w:p>
        </w:tc>
        <w:tc>
          <w:tcPr>
            <w:tcW w:w="1191" w:type="dxa"/>
            <w:vAlign w:val="center"/>
          </w:tcPr>
          <w:p w14:paraId="295515FE">
            <w:pPr>
              <w:rPr>
                <w:rFonts w:ascii="宋体" w:hAnsi="宋体"/>
                <w:sz w:val="24"/>
                <w:highlight w:val="none"/>
              </w:rPr>
            </w:pPr>
          </w:p>
        </w:tc>
      </w:tr>
      <w:tr w14:paraId="03C98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396A5BD5">
            <w:pPr>
              <w:rPr>
                <w:rFonts w:ascii="宋体" w:hAnsi="宋体"/>
                <w:sz w:val="24"/>
                <w:highlight w:val="none"/>
              </w:rPr>
            </w:pPr>
          </w:p>
        </w:tc>
        <w:tc>
          <w:tcPr>
            <w:tcW w:w="3365" w:type="dxa"/>
            <w:vAlign w:val="center"/>
          </w:tcPr>
          <w:p w14:paraId="0DCC5C81">
            <w:pPr>
              <w:rPr>
                <w:rFonts w:ascii="宋体" w:hAnsi="宋体"/>
                <w:sz w:val="24"/>
                <w:highlight w:val="none"/>
              </w:rPr>
            </w:pPr>
          </w:p>
        </w:tc>
        <w:tc>
          <w:tcPr>
            <w:tcW w:w="2009" w:type="dxa"/>
            <w:vAlign w:val="center"/>
          </w:tcPr>
          <w:p w14:paraId="351F2378">
            <w:pPr>
              <w:rPr>
                <w:rFonts w:ascii="宋体" w:hAnsi="宋体"/>
                <w:sz w:val="24"/>
                <w:highlight w:val="none"/>
              </w:rPr>
            </w:pPr>
          </w:p>
        </w:tc>
        <w:tc>
          <w:tcPr>
            <w:tcW w:w="2251" w:type="dxa"/>
            <w:vAlign w:val="center"/>
          </w:tcPr>
          <w:p w14:paraId="34A41089">
            <w:pPr>
              <w:rPr>
                <w:rFonts w:ascii="宋体" w:hAnsi="宋体"/>
                <w:sz w:val="24"/>
                <w:highlight w:val="none"/>
              </w:rPr>
            </w:pPr>
          </w:p>
        </w:tc>
        <w:tc>
          <w:tcPr>
            <w:tcW w:w="1677" w:type="dxa"/>
            <w:vAlign w:val="center"/>
          </w:tcPr>
          <w:p w14:paraId="46CDEAFC">
            <w:pPr>
              <w:rPr>
                <w:rFonts w:ascii="宋体" w:hAnsi="宋体"/>
                <w:sz w:val="24"/>
                <w:highlight w:val="none"/>
              </w:rPr>
            </w:pPr>
          </w:p>
        </w:tc>
        <w:tc>
          <w:tcPr>
            <w:tcW w:w="2204" w:type="dxa"/>
            <w:gridSpan w:val="2"/>
            <w:vAlign w:val="center"/>
          </w:tcPr>
          <w:p w14:paraId="718070AD">
            <w:pPr>
              <w:rPr>
                <w:rFonts w:ascii="宋体" w:hAnsi="宋体"/>
                <w:sz w:val="24"/>
                <w:highlight w:val="none"/>
              </w:rPr>
            </w:pPr>
          </w:p>
        </w:tc>
        <w:tc>
          <w:tcPr>
            <w:tcW w:w="1191" w:type="dxa"/>
            <w:vAlign w:val="center"/>
          </w:tcPr>
          <w:p w14:paraId="0298E894">
            <w:pPr>
              <w:rPr>
                <w:rFonts w:ascii="宋体" w:hAnsi="宋体"/>
                <w:sz w:val="24"/>
                <w:highlight w:val="none"/>
              </w:rPr>
            </w:pPr>
          </w:p>
        </w:tc>
      </w:tr>
      <w:tr w14:paraId="55790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bottom w:val="single" w:color="auto" w:sz="4" w:space="0"/>
            </w:tcBorders>
            <w:vAlign w:val="center"/>
          </w:tcPr>
          <w:p w14:paraId="37687C01">
            <w:pPr>
              <w:rPr>
                <w:rFonts w:ascii="宋体" w:hAnsi="宋体"/>
                <w:sz w:val="24"/>
                <w:highlight w:val="none"/>
              </w:rPr>
            </w:pPr>
          </w:p>
        </w:tc>
        <w:tc>
          <w:tcPr>
            <w:tcW w:w="3365" w:type="dxa"/>
            <w:tcBorders>
              <w:bottom w:val="single" w:color="auto" w:sz="4" w:space="0"/>
            </w:tcBorders>
            <w:vAlign w:val="center"/>
          </w:tcPr>
          <w:p w14:paraId="1C8B45BB">
            <w:pPr>
              <w:rPr>
                <w:rFonts w:ascii="宋体" w:hAnsi="宋体"/>
                <w:sz w:val="24"/>
                <w:highlight w:val="none"/>
              </w:rPr>
            </w:pPr>
          </w:p>
        </w:tc>
        <w:tc>
          <w:tcPr>
            <w:tcW w:w="2009" w:type="dxa"/>
            <w:tcBorders>
              <w:bottom w:val="single" w:color="auto" w:sz="4" w:space="0"/>
            </w:tcBorders>
            <w:vAlign w:val="center"/>
          </w:tcPr>
          <w:p w14:paraId="1F91EABC">
            <w:pPr>
              <w:rPr>
                <w:rFonts w:ascii="宋体" w:hAnsi="宋体"/>
                <w:sz w:val="24"/>
                <w:highlight w:val="none"/>
              </w:rPr>
            </w:pPr>
          </w:p>
        </w:tc>
        <w:tc>
          <w:tcPr>
            <w:tcW w:w="2251" w:type="dxa"/>
            <w:tcBorders>
              <w:bottom w:val="single" w:color="auto" w:sz="4" w:space="0"/>
            </w:tcBorders>
            <w:vAlign w:val="center"/>
          </w:tcPr>
          <w:p w14:paraId="216E0D9B">
            <w:pPr>
              <w:rPr>
                <w:rFonts w:ascii="宋体" w:hAnsi="宋体"/>
                <w:sz w:val="24"/>
                <w:highlight w:val="none"/>
              </w:rPr>
            </w:pPr>
          </w:p>
        </w:tc>
        <w:tc>
          <w:tcPr>
            <w:tcW w:w="1677" w:type="dxa"/>
            <w:tcBorders>
              <w:bottom w:val="single" w:color="auto" w:sz="4" w:space="0"/>
            </w:tcBorders>
            <w:vAlign w:val="center"/>
          </w:tcPr>
          <w:p w14:paraId="2EF38847">
            <w:pPr>
              <w:rPr>
                <w:rFonts w:ascii="宋体" w:hAnsi="宋体"/>
                <w:sz w:val="24"/>
                <w:highlight w:val="none"/>
              </w:rPr>
            </w:pPr>
          </w:p>
        </w:tc>
        <w:tc>
          <w:tcPr>
            <w:tcW w:w="2204" w:type="dxa"/>
            <w:gridSpan w:val="2"/>
            <w:tcBorders>
              <w:bottom w:val="single" w:color="auto" w:sz="4" w:space="0"/>
            </w:tcBorders>
            <w:vAlign w:val="center"/>
          </w:tcPr>
          <w:p w14:paraId="4863286E">
            <w:pPr>
              <w:rPr>
                <w:rFonts w:ascii="宋体" w:hAnsi="宋体"/>
                <w:sz w:val="24"/>
                <w:highlight w:val="none"/>
              </w:rPr>
            </w:pPr>
          </w:p>
        </w:tc>
        <w:tc>
          <w:tcPr>
            <w:tcW w:w="1191" w:type="dxa"/>
            <w:tcBorders>
              <w:bottom w:val="single" w:color="auto" w:sz="4" w:space="0"/>
            </w:tcBorders>
            <w:vAlign w:val="center"/>
          </w:tcPr>
          <w:p w14:paraId="574FA85C">
            <w:pPr>
              <w:rPr>
                <w:rFonts w:ascii="宋体" w:hAnsi="宋体"/>
                <w:sz w:val="24"/>
                <w:highlight w:val="none"/>
              </w:rPr>
            </w:pPr>
          </w:p>
        </w:tc>
      </w:tr>
      <w:tr w14:paraId="3B75B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266BE2DA">
            <w:pPr>
              <w:rPr>
                <w:rFonts w:ascii="宋体" w:hAnsi="宋体"/>
                <w:sz w:val="24"/>
                <w:highlight w:val="none"/>
              </w:rPr>
            </w:pPr>
          </w:p>
        </w:tc>
        <w:tc>
          <w:tcPr>
            <w:tcW w:w="3365" w:type="dxa"/>
            <w:tcBorders>
              <w:top w:val="single" w:color="auto" w:sz="4" w:space="0"/>
              <w:left w:val="single" w:color="auto" w:sz="4" w:space="0"/>
              <w:bottom w:val="single" w:color="auto" w:sz="4" w:space="0"/>
              <w:right w:val="single" w:color="auto" w:sz="4" w:space="0"/>
            </w:tcBorders>
            <w:vAlign w:val="center"/>
          </w:tcPr>
          <w:p w14:paraId="25E85DE9">
            <w:pPr>
              <w:rPr>
                <w:rFonts w:ascii="宋体" w:hAnsi="宋体"/>
                <w:sz w:val="24"/>
                <w:highlight w:val="none"/>
              </w:rPr>
            </w:pPr>
          </w:p>
        </w:tc>
        <w:tc>
          <w:tcPr>
            <w:tcW w:w="2009" w:type="dxa"/>
            <w:tcBorders>
              <w:top w:val="single" w:color="auto" w:sz="4" w:space="0"/>
              <w:left w:val="single" w:color="auto" w:sz="4" w:space="0"/>
              <w:bottom w:val="single" w:color="auto" w:sz="4" w:space="0"/>
              <w:right w:val="single" w:color="auto" w:sz="4" w:space="0"/>
            </w:tcBorders>
            <w:vAlign w:val="center"/>
          </w:tcPr>
          <w:p w14:paraId="1933664C">
            <w:pPr>
              <w:rPr>
                <w:rFonts w:ascii="宋体" w:hAnsi="宋体"/>
                <w:sz w:val="24"/>
                <w:highlight w:val="none"/>
              </w:rPr>
            </w:pPr>
          </w:p>
        </w:tc>
        <w:tc>
          <w:tcPr>
            <w:tcW w:w="2251" w:type="dxa"/>
            <w:tcBorders>
              <w:top w:val="single" w:color="auto" w:sz="4" w:space="0"/>
              <w:left w:val="single" w:color="auto" w:sz="4" w:space="0"/>
              <w:bottom w:val="single" w:color="auto" w:sz="4" w:space="0"/>
              <w:right w:val="single" w:color="auto" w:sz="4" w:space="0"/>
            </w:tcBorders>
            <w:vAlign w:val="center"/>
          </w:tcPr>
          <w:p w14:paraId="0B598615">
            <w:pPr>
              <w:rPr>
                <w:rFonts w:ascii="宋体" w:hAnsi="宋体"/>
                <w:sz w:val="24"/>
                <w:highlight w:val="none"/>
              </w:rPr>
            </w:pPr>
          </w:p>
        </w:tc>
        <w:tc>
          <w:tcPr>
            <w:tcW w:w="1677" w:type="dxa"/>
            <w:tcBorders>
              <w:top w:val="single" w:color="auto" w:sz="4" w:space="0"/>
              <w:left w:val="single" w:color="auto" w:sz="4" w:space="0"/>
              <w:bottom w:val="single" w:color="auto" w:sz="4" w:space="0"/>
              <w:right w:val="single" w:color="auto" w:sz="4" w:space="0"/>
            </w:tcBorders>
            <w:vAlign w:val="center"/>
          </w:tcPr>
          <w:p w14:paraId="000B03E8">
            <w:pPr>
              <w:rPr>
                <w:rFonts w:ascii="宋体" w:hAnsi="宋体"/>
                <w:sz w:val="24"/>
                <w:highlight w:val="none"/>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24CD87A1">
            <w:pPr>
              <w:rPr>
                <w:rFonts w:ascii="宋体" w:hAnsi="宋体"/>
                <w:sz w:val="24"/>
                <w:highlight w:val="none"/>
              </w:rPr>
            </w:pPr>
          </w:p>
        </w:tc>
        <w:tc>
          <w:tcPr>
            <w:tcW w:w="1191" w:type="dxa"/>
            <w:tcBorders>
              <w:top w:val="single" w:color="auto" w:sz="4" w:space="0"/>
              <w:left w:val="single" w:color="auto" w:sz="4" w:space="0"/>
              <w:bottom w:val="single" w:color="auto" w:sz="4" w:space="0"/>
              <w:right w:val="single" w:color="auto" w:sz="4" w:space="0"/>
            </w:tcBorders>
            <w:vAlign w:val="center"/>
          </w:tcPr>
          <w:p w14:paraId="1F5B8EB3">
            <w:pPr>
              <w:rPr>
                <w:rFonts w:ascii="宋体" w:hAnsi="宋体"/>
                <w:sz w:val="24"/>
                <w:highlight w:val="none"/>
              </w:rPr>
            </w:pPr>
          </w:p>
        </w:tc>
      </w:tr>
      <w:tr w14:paraId="1E831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146E9DD4">
            <w:pPr>
              <w:rPr>
                <w:rFonts w:ascii="宋体" w:hAnsi="宋体"/>
                <w:sz w:val="24"/>
                <w:highlight w:val="none"/>
              </w:rPr>
            </w:pPr>
          </w:p>
        </w:tc>
        <w:tc>
          <w:tcPr>
            <w:tcW w:w="3365" w:type="dxa"/>
            <w:tcBorders>
              <w:top w:val="single" w:color="auto" w:sz="4" w:space="0"/>
              <w:left w:val="single" w:color="auto" w:sz="4" w:space="0"/>
              <w:bottom w:val="single" w:color="auto" w:sz="4" w:space="0"/>
              <w:right w:val="single" w:color="auto" w:sz="4" w:space="0"/>
            </w:tcBorders>
            <w:vAlign w:val="center"/>
          </w:tcPr>
          <w:p w14:paraId="7C8A8041">
            <w:pPr>
              <w:rPr>
                <w:rFonts w:ascii="宋体" w:hAnsi="宋体"/>
                <w:sz w:val="24"/>
                <w:highlight w:val="none"/>
              </w:rPr>
            </w:pPr>
          </w:p>
        </w:tc>
        <w:tc>
          <w:tcPr>
            <w:tcW w:w="2009" w:type="dxa"/>
            <w:tcBorders>
              <w:top w:val="single" w:color="auto" w:sz="4" w:space="0"/>
              <w:left w:val="single" w:color="auto" w:sz="4" w:space="0"/>
              <w:bottom w:val="single" w:color="auto" w:sz="4" w:space="0"/>
              <w:right w:val="single" w:color="auto" w:sz="4" w:space="0"/>
            </w:tcBorders>
            <w:vAlign w:val="center"/>
          </w:tcPr>
          <w:p w14:paraId="78BB1ECD">
            <w:pPr>
              <w:rPr>
                <w:rFonts w:ascii="宋体" w:hAnsi="宋体"/>
                <w:sz w:val="24"/>
                <w:highlight w:val="none"/>
              </w:rPr>
            </w:pPr>
          </w:p>
        </w:tc>
        <w:tc>
          <w:tcPr>
            <w:tcW w:w="2251" w:type="dxa"/>
            <w:tcBorders>
              <w:top w:val="single" w:color="auto" w:sz="4" w:space="0"/>
              <w:left w:val="single" w:color="auto" w:sz="4" w:space="0"/>
              <w:bottom w:val="single" w:color="auto" w:sz="4" w:space="0"/>
              <w:right w:val="single" w:color="auto" w:sz="4" w:space="0"/>
            </w:tcBorders>
            <w:vAlign w:val="center"/>
          </w:tcPr>
          <w:p w14:paraId="5DA38D2A">
            <w:pPr>
              <w:rPr>
                <w:rFonts w:ascii="宋体" w:hAnsi="宋体"/>
                <w:sz w:val="24"/>
                <w:highlight w:val="none"/>
              </w:rPr>
            </w:pPr>
          </w:p>
        </w:tc>
        <w:tc>
          <w:tcPr>
            <w:tcW w:w="1677" w:type="dxa"/>
            <w:tcBorders>
              <w:top w:val="single" w:color="auto" w:sz="4" w:space="0"/>
              <w:left w:val="single" w:color="auto" w:sz="4" w:space="0"/>
              <w:bottom w:val="single" w:color="auto" w:sz="4" w:space="0"/>
              <w:right w:val="single" w:color="auto" w:sz="4" w:space="0"/>
            </w:tcBorders>
            <w:vAlign w:val="center"/>
          </w:tcPr>
          <w:p w14:paraId="20D56182">
            <w:pPr>
              <w:rPr>
                <w:rFonts w:ascii="宋体" w:hAnsi="宋体"/>
                <w:sz w:val="24"/>
                <w:highlight w:val="none"/>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1CF7C0F5">
            <w:pPr>
              <w:rPr>
                <w:rFonts w:ascii="宋体" w:hAnsi="宋体"/>
                <w:sz w:val="24"/>
                <w:highlight w:val="none"/>
              </w:rPr>
            </w:pPr>
          </w:p>
        </w:tc>
        <w:tc>
          <w:tcPr>
            <w:tcW w:w="1191" w:type="dxa"/>
            <w:tcBorders>
              <w:top w:val="single" w:color="auto" w:sz="4" w:space="0"/>
              <w:left w:val="single" w:color="auto" w:sz="4" w:space="0"/>
              <w:bottom w:val="single" w:color="auto" w:sz="4" w:space="0"/>
              <w:right w:val="single" w:color="auto" w:sz="4" w:space="0"/>
            </w:tcBorders>
            <w:vAlign w:val="center"/>
          </w:tcPr>
          <w:p w14:paraId="7FC9C7CF">
            <w:pPr>
              <w:rPr>
                <w:rFonts w:ascii="宋体" w:hAnsi="宋体"/>
                <w:sz w:val="24"/>
                <w:highlight w:val="none"/>
              </w:rPr>
            </w:pPr>
          </w:p>
        </w:tc>
      </w:tr>
      <w:tr w14:paraId="1115D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449" w:type="dxa"/>
            <w:gridSpan w:val="6"/>
            <w:tcBorders>
              <w:top w:val="single" w:color="auto" w:sz="4" w:space="0"/>
              <w:left w:val="single" w:color="auto" w:sz="4" w:space="0"/>
              <w:bottom w:val="single" w:color="auto" w:sz="4" w:space="0"/>
              <w:right w:val="single" w:color="auto" w:sz="4" w:space="0"/>
            </w:tcBorders>
            <w:vAlign w:val="center"/>
          </w:tcPr>
          <w:p w14:paraId="51557180">
            <w:pPr>
              <w:jc w:val="center"/>
              <w:rPr>
                <w:rFonts w:ascii="宋体" w:hAnsi="宋体"/>
                <w:sz w:val="24"/>
                <w:highlight w:val="none"/>
              </w:rPr>
            </w:pPr>
            <w:r>
              <w:rPr>
                <w:rFonts w:hint="eastAsia" w:ascii="宋体" w:hAnsi="宋体"/>
                <w:sz w:val="24"/>
                <w:highlight w:val="none"/>
              </w:rPr>
              <w:t>总报价（不含税）</w:t>
            </w:r>
          </w:p>
        </w:tc>
        <w:tc>
          <w:tcPr>
            <w:tcW w:w="3378" w:type="dxa"/>
            <w:gridSpan w:val="2"/>
            <w:tcBorders>
              <w:top w:val="single" w:color="auto" w:sz="4" w:space="0"/>
              <w:left w:val="single" w:color="auto" w:sz="4" w:space="0"/>
              <w:bottom w:val="single" w:color="auto" w:sz="4" w:space="0"/>
              <w:right w:val="single" w:color="auto" w:sz="4" w:space="0"/>
            </w:tcBorders>
            <w:vAlign w:val="center"/>
          </w:tcPr>
          <w:p w14:paraId="6EC20031">
            <w:pPr>
              <w:jc w:val="center"/>
              <w:rPr>
                <w:rFonts w:ascii="宋体" w:hAnsi="宋体"/>
                <w:sz w:val="24"/>
                <w:highlight w:val="none"/>
              </w:rPr>
            </w:pPr>
          </w:p>
        </w:tc>
      </w:tr>
    </w:tbl>
    <w:p w14:paraId="4D96C13F">
      <w:pPr>
        <w:rPr>
          <w:rFonts w:ascii="宋体" w:hAnsi="宋体"/>
          <w:b/>
          <w:sz w:val="24"/>
          <w:highlight w:val="none"/>
        </w:rPr>
      </w:pPr>
    </w:p>
    <w:p w14:paraId="5B59E167">
      <w:pPr>
        <w:rPr>
          <w:rFonts w:ascii="宋体" w:hAnsi="宋体"/>
          <w:sz w:val="24"/>
          <w:highlight w:val="none"/>
        </w:rPr>
      </w:pPr>
      <w:r>
        <w:rPr>
          <w:rFonts w:hint="eastAsia" w:ascii="宋体" w:hAnsi="宋体"/>
          <w:sz w:val="24"/>
          <w:highlight w:val="none"/>
        </w:rPr>
        <w:t xml:space="preserve"> </w:t>
      </w:r>
      <w:r>
        <w:rPr>
          <w:rFonts w:ascii="宋体" w:hAnsi="宋体"/>
          <w:sz w:val="24"/>
          <w:highlight w:val="none"/>
        </w:rPr>
        <w:t xml:space="preserve">       </w:t>
      </w:r>
      <w:r>
        <w:rPr>
          <w:rFonts w:hint="eastAsia" w:ascii="宋体" w:hAnsi="宋体"/>
          <w:sz w:val="24"/>
          <w:highlight w:val="none"/>
        </w:rPr>
        <w:t>投标人名称：                   授权代表签字：            日期：</w:t>
      </w:r>
    </w:p>
    <w:p w14:paraId="1F0FF71B">
      <w:pPr>
        <w:rPr>
          <w:rFonts w:ascii="宋体" w:hAnsi="宋体"/>
          <w:sz w:val="24"/>
          <w:highlight w:val="none"/>
        </w:rPr>
      </w:pPr>
    </w:p>
    <w:p w14:paraId="3743DF6E">
      <w:pPr>
        <w:rPr>
          <w:rFonts w:ascii="宋体" w:hAnsi="宋体"/>
          <w:sz w:val="24"/>
          <w:highlight w:val="none"/>
        </w:rPr>
      </w:pPr>
      <w:r>
        <w:rPr>
          <w:rFonts w:hint="eastAsia" w:ascii="宋体" w:hAnsi="宋体"/>
          <w:sz w:val="24"/>
          <w:highlight w:val="none"/>
        </w:rPr>
        <w:t>注： 1</w:t>
      </w:r>
      <w:r>
        <w:rPr>
          <w:rFonts w:ascii="宋体" w:hAnsi="宋体"/>
          <w:sz w:val="24"/>
          <w:highlight w:val="none"/>
        </w:rPr>
        <w:t>.</w:t>
      </w:r>
      <w:r>
        <w:rPr>
          <w:rFonts w:hint="eastAsia" w:ascii="宋体" w:hAnsi="宋体"/>
          <w:sz w:val="24"/>
          <w:highlight w:val="none"/>
        </w:rPr>
        <w:t>请按照《技术协议书》中技术参数内容填写报价，可增项、不可缺项。</w:t>
      </w:r>
    </w:p>
    <w:p w14:paraId="38567139">
      <w:pPr>
        <w:ind w:firstLine="600" w:firstLineChars="250"/>
        <w:rPr>
          <w:rFonts w:ascii="宋体" w:hAnsi="宋体"/>
          <w:sz w:val="24"/>
          <w:highlight w:val="none"/>
        </w:rPr>
      </w:pPr>
      <w:r>
        <w:rPr>
          <w:rFonts w:hint="eastAsia" w:ascii="宋体" w:hAnsi="宋体"/>
          <w:sz w:val="24"/>
          <w:highlight w:val="none"/>
        </w:rPr>
        <w:t>2.投标总价为各投标物品的合计单项价之和。</w:t>
      </w:r>
    </w:p>
    <w:p w14:paraId="68AC3DFA">
      <w:pPr>
        <w:ind w:firstLine="720" w:firstLineChars="300"/>
        <w:rPr>
          <w:highlight w:val="none"/>
        </w:rPr>
      </w:pPr>
      <w:r>
        <w:rPr>
          <w:rFonts w:hint="eastAsia" w:ascii="宋体" w:hAnsi="宋体"/>
          <w:sz w:val="24"/>
          <w:highlight w:val="none"/>
        </w:rPr>
        <w:t>3.本表用于开标宣读用，请单独封存。</w:t>
      </w:r>
    </w:p>
    <w:p w14:paraId="69DAD316">
      <w:pPr>
        <w:rPr>
          <w:rFonts w:hint="eastAsia" w:ascii="宋体" w:hAnsi="宋体"/>
          <w:sz w:val="24"/>
          <w:highlight w:val="none"/>
        </w:rPr>
        <w:sectPr>
          <w:pgSz w:w="16838" w:h="11906" w:orient="landscape"/>
          <w:pgMar w:top="1417" w:right="1587" w:bottom="1417" w:left="1134" w:header="851" w:footer="992" w:gutter="0"/>
          <w:pgNumType w:fmt="decimal"/>
          <w:cols w:space="0" w:num="1"/>
          <w:titlePg/>
          <w:rtlGutter w:val="0"/>
          <w:docGrid w:type="lines" w:linePitch="312" w:charSpace="0"/>
        </w:sectPr>
      </w:pPr>
      <w:bookmarkStart w:id="17" w:name="_Toc8241"/>
    </w:p>
    <w:p w14:paraId="1694B706">
      <w:pPr>
        <w:rPr>
          <w:rFonts w:ascii="宋体" w:hAnsi="宋体"/>
          <w:sz w:val="24"/>
          <w:highlight w:val="none"/>
        </w:rPr>
      </w:pPr>
      <w:r>
        <w:rPr>
          <w:rFonts w:hint="eastAsia" w:ascii="宋体" w:hAnsi="宋体"/>
          <w:sz w:val="24"/>
          <w:highlight w:val="none"/>
        </w:rPr>
        <w:t>附件4</w:t>
      </w:r>
      <w:bookmarkEnd w:id="17"/>
    </w:p>
    <w:p w14:paraId="4B4316B4">
      <w:pPr>
        <w:jc w:val="center"/>
        <w:rPr>
          <w:rFonts w:eastAsia="黑体"/>
          <w:b/>
          <w:bCs/>
          <w:sz w:val="28"/>
          <w:highlight w:val="none"/>
        </w:rPr>
      </w:pPr>
      <w:r>
        <w:rPr>
          <w:rFonts w:hint="eastAsia" w:eastAsia="黑体"/>
          <w:b/>
          <w:bCs/>
          <w:sz w:val="28"/>
          <w:highlight w:val="none"/>
        </w:rPr>
        <w:t>偏离表</w:t>
      </w:r>
    </w:p>
    <w:tbl>
      <w:tblPr>
        <w:tblStyle w:val="2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48ED8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8993290">
            <w:pPr>
              <w:jc w:val="center"/>
              <w:rPr>
                <w:rFonts w:ascii="宋体" w:hAnsi="宋体"/>
                <w:sz w:val="24"/>
                <w:highlight w:val="none"/>
              </w:rPr>
            </w:pPr>
            <w:r>
              <w:rPr>
                <w:rFonts w:hint="eastAsia" w:ascii="宋体" w:hAnsi="宋体"/>
                <w:sz w:val="24"/>
                <w:highlight w:val="none"/>
              </w:rPr>
              <w:t>序号</w:t>
            </w:r>
          </w:p>
        </w:tc>
        <w:tc>
          <w:tcPr>
            <w:tcW w:w="3971" w:type="dxa"/>
            <w:gridSpan w:val="2"/>
            <w:vAlign w:val="center"/>
          </w:tcPr>
          <w:p w14:paraId="416C3444">
            <w:pPr>
              <w:jc w:val="center"/>
              <w:rPr>
                <w:rFonts w:ascii="宋体" w:hAnsi="宋体"/>
                <w:sz w:val="24"/>
                <w:highlight w:val="none"/>
              </w:rPr>
            </w:pPr>
            <w:r>
              <w:rPr>
                <w:rFonts w:hint="eastAsia" w:ascii="宋体" w:hAnsi="宋体"/>
                <w:sz w:val="24"/>
                <w:highlight w:val="none"/>
              </w:rPr>
              <w:t>招标文件条款</w:t>
            </w:r>
          </w:p>
        </w:tc>
        <w:tc>
          <w:tcPr>
            <w:tcW w:w="3723" w:type="dxa"/>
            <w:gridSpan w:val="2"/>
            <w:vAlign w:val="center"/>
          </w:tcPr>
          <w:p w14:paraId="1C197FF1">
            <w:pPr>
              <w:jc w:val="center"/>
              <w:rPr>
                <w:rFonts w:ascii="宋体" w:hAnsi="宋体"/>
                <w:sz w:val="24"/>
                <w:highlight w:val="none"/>
              </w:rPr>
            </w:pPr>
            <w:r>
              <w:rPr>
                <w:rFonts w:hint="eastAsia" w:ascii="宋体" w:hAnsi="宋体"/>
                <w:sz w:val="24"/>
                <w:highlight w:val="none"/>
              </w:rPr>
              <w:t>投标书条款</w:t>
            </w:r>
          </w:p>
        </w:tc>
      </w:tr>
      <w:tr w14:paraId="179E7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CB0C0DF">
            <w:pPr>
              <w:rPr>
                <w:rFonts w:ascii="宋体" w:hAnsi="宋体"/>
                <w:sz w:val="24"/>
                <w:highlight w:val="none"/>
              </w:rPr>
            </w:pPr>
          </w:p>
        </w:tc>
        <w:tc>
          <w:tcPr>
            <w:tcW w:w="1080" w:type="dxa"/>
            <w:vAlign w:val="center"/>
          </w:tcPr>
          <w:p w14:paraId="37C0B112">
            <w:pPr>
              <w:jc w:val="center"/>
              <w:rPr>
                <w:rFonts w:ascii="宋体" w:hAnsi="宋体"/>
                <w:sz w:val="24"/>
                <w:highlight w:val="none"/>
              </w:rPr>
            </w:pPr>
          </w:p>
        </w:tc>
        <w:tc>
          <w:tcPr>
            <w:tcW w:w="2891" w:type="dxa"/>
            <w:vAlign w:val="center"/>
          </w:tcPr>
          <w:p w14:paraId="3B6829AB">
            <w:pPr>
              <w:jc w:val="center"/>
              <w:rPr>
                <w:rFonts w:ascii="宋体" w:hAnsi="宋体"/>
                <w:sz w:val="24"/>
                <w:highlight w:val="none"/>
              </w:rPr>
            </w:pPr>
            <w:r>
              <w:rPr>
                <w:rFonts w:hint="eastAsia" w:ascii="宋体" w:hAnsi="宋体"/>
                <w:sz w:val="24"/>
                <w:highlight w:val="none"/>
              </w:rPr>
              <w:t>偏离</w:t>
            </w:r>
          </w:p>
        </w:tc>
        <w:tc>
          <w:tcPr>
            <w:tcW w:w="1110" w:type="dxa"/>
            <w:vAlign w:val="center"/>
          </w:tcPr>
          <w:p w14:paraId="05E6C665">
            <w:pPr>
              <w:jc w:val="center"/>
              <w:rPr>
                <w:rFonts w:ascii="宋体" w:hAnsi="宋体"/>
                <w:sz w:val="24"/>
                <w:highlight w:val="none"/>
              </w:rPr>
            </w:pPr>
          </w:p>
        </w:tc>
        <w:tc>
          <w:tcPr>
            <w:tcW w:w="2613" w:type="dxa"/>
            <w:vAlign w:val="center"/>
          </w:tcPr>
          <w:p w14:paraId="6381FA13">
            <w:pPr>
              <w:jc w:val="center"/>
              <w:rPr>
                <w:rFonts w:ascii="宋体" w:hAnsi="宋体"/>
                <w:sz w:val="24"/>
                <w:highlight w:val="none"/>
              </w:rPr>
            </w:pPr>
            <w:r>
              <w:rPr>
                <w:rFonts w:hint="eastAsia" w:ascii="宋体" w:hAnsi="宋体"/>
                <w:sz w:val="24"/>
                <w:highlight w:val="none"/>
              </w:rPr>
              <w:t>偏离</w:t>
            </w:r>
          </w:p>
        </w:tc>
      </w:tr>
      <w:tr w14:paraId="42511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96A77BB">
            <w:pPr>
              <w:jc w:val="center"/>
              <w:rPr>
                <w:rFonts w:ascii="宋体" w:hAnsi="宋体"/>
                <w:sz w:val="24"/>
                <w:highlight w:val="none"/>
              </w:rPr>
            </w:pPr>
            <w:r>
              <w:rPr>
                <w:rFonts w:hint="eastAsia" w:ascii="宋体" w:hAnsi="宋体"/>
                <w:sz w:val="24"/>
                <w:highlight w:val="none"/>
              </w:rPr>
              <w:t>1</w:t>
            </w:r>
          </w:p>
        </w:tc>
        <w:tc>
          <w:tcPr>
            <w:tcW w:w="1080" w:type="dxa"/>
            <w:vAlign w:val="center"/>
          </w:tcPr>
          <w:p w14:paraId="3430D624">
            <w:pPr>
              <w:rPr>
                <w:rFonts w:ascii="宋体" w:hAnsi="宋体"/>
                <w:sz w:val="24"/>
                <w:highlight w:val="none"/>
              </w:rPr>
            </w:pPr>
          </w:p>
        </w:tc>
        <w:tc>
          <w:tcPr>
            <w:tcW w:w="2891" w:type="dxa"/>
            <w:vAlign w:val="center"/>
          </w:tcPr>
          <w:p w14:paraId="105462DF">
            <w:pPr>
              <w:rPr>
                <w:rFonts w:ascii="宋体" w:hAnsi="宋体"/>
                <w:sz w:val="24"/>
                <w:highlight w:val="none"/>
              </w:rPr>
            </w:pPr>
          </w:p>
        </w:tc>
        <w:tc>
          <w:tcPr>
            <w:tcW w:w="1110" w:type="dxa"/>
            <w:vAlign w:val="center"/>
          </w:tcPr>
          <w:p w14:paraId="71059D7A">
            <w:pPr>
              <w:rPr>
                <w:rFonts w:ascii="宋体" w:hAnsi="宋体"/>
                <w:sz w:val="24"/>
                <w:highlight w:val="none"/>
              </w:rPr>
            </w:pPr>
          </w:p>
        </w:tc>
        <w:tc>
          <w:tcPr>
            <w:tcW w:w="2613" w:type="dxa"/>
            <w:vAlign w:val="center"/>
          </w:tcPr>
          <w:p w14:paraId="314BB6CC">
            <w:pPr>
              <w:rPr>
                <w:rFonts w:ascii="宋体" w:hAnsi="宋体"/>
                <w:sz w:val="24"/>
                <w:highlight w:val="none"/>
              </w:rPr>
            </w:pPr>
          </w:p>
        </w:tc>
      </w:tr>
      <w:tr w14:paraId="78FB6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9521C5B">
            <w:pPr>
              <w:jc w:val="center"/>
              <w:rPr>
                <w:rFonts w:ascii="宋体" w:hAnsi="宋体"/>
                <w:sz w:val="24"/>
                <w:highlight w:val="none"/>
              </w:rPr>
            </w:pPr>
            <w:r>
              <w:rPr>
                <w:rFonts w:hint="eastAsia" w:ascii="宋体" w:hAnsi="宋体"/>
                <w:sz w:val="24"/>
                <w:highlight w:val="none"/>
              </w:rPr>
              <w:t>2</w:t>
            </w:r>
          </w:p>
        </w:tc>
        <w:tc>
          <w:tcPr>
            <w:tcW w:w="1080" w:type="dxa"/>
            <w:vAlign w:val="center"/>
          </w:tcPr>
          <w:p w14:paraId="408FEC78">
            <w:pPr>
              <w:rPr>
                <w:rFonts w:ascii="宋体" w:hAnsi="宋体"/>
                <w:sz w:val="24"/>
                <w:highlight w:val="none"/>
              </w:rPr>
            </w:pPr>
          </w:p>
        </w:tc>
        <w:tc>
          <w:tcPr>
            <w:tcW w:w="2891" w:type="dxa"/>
            <w:vAlign w:val="center"/>
          </w:tcPr>
          <w:p w14:paraId="083CCD48">
            <w:pPr>
              <w:rPr>
                <w:rFonts w:ascii="宋体" w:hAnsi="宋体"/>
                <w:sz w:val="24"/>
                <w:highlight w:val="none"/>
              </w:rPr>
            </w:pPr>
          </w:p>
        </w:tc>
        <w:tc>
          <w:tcPr>
            <w:tcW w:w="1110" w:type="dxa"/>
            <w:vAlign w:val="center"/>
          </w:tcPr>
          <w:p w14:paraId="38713F2B">
            <w:pPr>
              <w:rPr>
                <w:rFonts w:ascii="宋体" w:hAnsi="宋体"/>
                <w:sz w:val="24"/>
                <w:highlight w:val="none"/>
              </w:rPr>
            </w:pPr>
          </w:p>
        </w:tc>
        <w:tc>
          <w:tcPr>
            <w:tcW w:w="2613" w:type="dxa"/>
            <w:vAlign w:val="center"/>
          </w:tcPr>
          <w:p w14:paraId="2FBCEDB5">
            <w:pPr>
              <w:rPr>
                <w:rFonts w:ascii="宋体" w:hAnsi="宋体"/>
                <w:sz w:val="24"/>
                <w:highlight w:val="none"/>
              </w:rPr>
            </w:pPr>
          </w:p>
        </w:tc>
      </w:tr>
      <w:tr w14:paraId="7AF14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D826193">
            <w:pPr>
              <w:jc w:val="center"/>
              <w:rPr>
                <w:rFonts w:ascii="宋体" w:hAnsi="宋体"/>
                <w:sz w:val="24"/>
                <w:highlight w:val="none"/>
              </w:rPr>
            </w:pPr>
            <w:r>
              <w:rPr>
                <w:rFonts w:hint="eastAsia" w:ascii="宋体" w:hAnsi="宋体"/>
                <w:sz w:val="24"/>
                <w:highlight w:val="none"/>
              </w:rPr>
              <w:t>3</w:t>
            </w:r>
          </w:p>
        </w:tc>
        <w:tc>
          <w:tcPr>
            <w:tcW w:w="1080" w:type="dxa"/>
            <w:vAlign w:val="center"/>
          </w:tcPr>
          <w:p w14:paraId="23B6005E">
            <w:pPr>
              <w:rPr>
                <w:rFonts w:ascii="宋体" w:hAnsi="宋体"/>
                <w:sz w:val="24"/>
                <w:highlight w:val="none"/>
              </w:rPr>
            </w:pPr>
          </w:p>
        </w:tc>
        <w:tc>
          <w:tcPr>
            <w:tcW w:w="2891" w:type="dxa"/>
            <w:vAlign w:val="center"/>
          </w:tcPr>
          <w:p w14:paraId="4F5875E9">
            <w:pPr>
              <w:rPr>
                <w:rFonts w:ascii="宋体" w:hAnsi="宋体"/>
                <w:sz w:val="24"/>
                <w:highlight w:val="none"/>
              </w:rPr>
            </w:pPr>
          </w:p>
        </w:tc>
        <w:tc>
          <w:tcPr>
            <w:tcW w:w="1110" w:type="dxa"/>
            <w:vAlign w:val="center"/>
          </w:tcPr>
          <w:p w14:paraId="5889A8A7">
            <w:pPr>
              <w:rPr>
                <w:rFonts w:ascii="宋体" w:hAnsi="宋体"/>
                <w:sz w:val="24"/>
                <w:highlight w:val="none"/>
              </w:rPr>
            </w:pPr>
          </w:p>
        </w:tc>
        <w:tc>
          <w:tcPr>
            <w:tcW w:w="2613" w:type="dxa"/>
            <w:vAlign w:val="center"/>
          </w:tcPr>
          <w:p w14:paraId="55F086D7">
            <w:pPr>
              <w:rPr>
                <w:rFonts w:ascii="宋体" w:hAnsi="宋体"/>
                <w:sz w:val="24"/>
                <w:highlight w:val="none"/>
              </w:rPr>
            </w:pPr>
          </w:p>
        </w:tc>
      </w:tr>
      <w:tr w14:paraId="22B29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58FDE5B">
            <w:pPr>
              <w:jc w:val="center"/>
              <w:rPr>
                <w:rFonts w:ascii="宋体" w:hAnsi="宋体"/>
                <w:sz w:val="24"/>
                <w:highlight w:val="none"/>
              </w:rPr>
            </w:pPr>
            <w:r>
              <w:rPr>
                <w:rFonts w:hint="eastAsia" w:ascii="宋体" w:hAnsi="宋体"/>
                <w:sz w:val="24"/>
                <w:highlight w:val="none"/>
              </w:rPr>
              <w:t>4</w:t>
            </w:r>
          </w:p>
        </w:tc>
        <w:tc>
          <w:tcPr>
            <w:tcW w:w="1080" w:type="dxa"/>
            <w:vAlign w:val="center"/>
          </w:tcPr>
          <w:p w14:paraId="7F5C121B">
            <w:pPr>
              <w:rPr>
                <w:rFonts w:ascii="宋体" w:hAnsi="宋体"/>
                <w:sz w:val="24"/>
                <w:highlight w:val="none"/>
              </w:rPr>
            </w:pPr>
          </w:p>
        </w:tc>
        <w:tc>
          <w:tcPr>
            <w:tcW w:w="2891" w:type="dxa"/>
            <w:vAlign w:val="center"/>
          </w:tcPr>
          <w:p w14:paraId="5476DBA0">
            <w:pPr>
              <w:rPr>
                <w:rFonts w:ascii="宋体" w:hAnsi="宋体"/>
                <w:sz w:val="24"/>
                <w:highlight w:val="none"/>
              </w:rPr>
            </w:pPr>
          </w:p>
        </w:tc>
        <w:tc>
          <w:tcPr>
            <w:tcW w:w="1110" w:type="dxa"/>
            <w:vAlign w:val="center"/>
          </w:tcPr>
          <w:p w14:paraId="3B0CB617">
            <w:pPr>
              <w:rPr>
                <w:rFonts w:ascii="宋体" w:hAnsi="宋体"/>
                <w:sz w:val="24"/>
                <w:highlight w:val="none"/>
              </w:rPr>
            </w:pPr>
          </w:p>
        </w:tc>
        <w:tc>
          <w:tcPr>
            <w:tcW w:w="2613" w:type="dxa"/>
            <w:vAlign w:val="center"/>
          </w:tcPr>
          <w:p w14:paraId="1923D255">
            <w:pPr>
              <w:rPr>
                <w:rFonts w:ascii="宋体" w:hAnsi="宋体"/>
                <w:sz w:val="24"/>
                <w:highlight w:val="none"/>
              </w:rPr>
            </w:pPr>
          </w:p>
        </w:tc>
      </w:tr>
      <w:tr w14:paraId="38110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78BD376">
            <w:pPr>
              <w:jc w:val="center"/>
              <w:rPr>
                <w:rFonts w:ascii="宋体" w:hAnsi="宋体"/>
                <w:sz w:val="24"/>
                <w:highlight w:val="none"/>
              </w:rPr>
            </w:pPr>
            <w:r>
              <w:rPr>
                <w:rFonts w:hint="eastAsia" w:ascii="宋体" w:hAnsi="宋体"/>
                <w:sz w:val="24"/>
                <w:highlight w:val="none"/>
              </w:rPr>
              <w:t>5</w:t>
            </w:r>
          </w:p>
        </w:tc>
        <w:tc>
          <w:tcPr>
            <w:tcW w:w="1080" w:type="dxa"/>
            <w:vAlign w:val="center"/>
          </w:tcPr>
          <w:p w14:paraId="2A857905">
            <w:pPr>
              <w:rPr>
                <w:rFonts w:ascii="宋体" w:hAnsi="宋体"/>
                <w:sz w:val="24"/>
                <w:highlight w:val="none"/>
              </w:rPr>
            </w:pPr>
          </w:p>
        </w:tc>
        <w:tc>
          <w:tcPr>
            <w:tcW w:w="2891" w:type="dxa"/>
            <w:vAlign w:val="center"/>
          </w:tcPr>
          <w:p w14:paraId="6F8B54CF">
            <w:pPr>
              <w:rPr>
                <w:rFonts w:ascii="宋体" w:hAnsi="宋体"/>
                <w:sz w:val="24"/>
                <w:highlight w:val="none"/>
              </w:rPr>
            </w:pPr>
          </w:p>
        </w:tc>
        <w:tc>
          <w:tcPr>
            <w:tcW w:w="1110" w:type="dxa"/>
            <w:vAlign w:val="center"/>
          </w:tcPr>
          <w:p w14:paraId="75B71CB1">
            <w:pPr>
              <w:rPr>
                <w:rFonts w:ascii="宋体" w:hAnsi="宋体"/>
                <w:sz w:val="24"/>
                <w:highlight w:val="none"/>
              </w:rPr>
            </w:pPr>
          </w:p>
        </w:tc>
        <w:tc>
          <w:tcPr>
            <w:tcW w:w="2613" w:type="dxa"/>
            <w:vAlign w:val="center"/>
          </w:tcPr>
          <w:p w14:paraId="413BA94E">
            <w:pPr>
              <w:rPr>
                <w:rFonts w:ascii="宋体" w:hAnsi="宋体"/>
                <w:sz w:val="24"/>
                <w:highlight w:val="none"/>
              </w:rPr>
            </w:pPr>
          </w:p>
        </w:tc>
      </w:tr>
      <w:tr w14:paraId="6521E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8379F44">
            <w:pPr>
              <w:jc w:val="center"/>
              <w:rPr>
                <w:rFonts w:ascii="宋体" w:hAnsi="宋体"/>
                <w:sz w:val="24"/>
                <w:highlight w:val="none"/>
              </w:rPr>
            </w:pPr>
            <w:r>
              <w:rPr>
                <w:rFonts w:hint="eastAsia" w:ascii="宋体" w:hAnsi="宋体"/>
                <w:sz w:val="24"/>
                <w:highlight w:val="none"/>
              </w:rPr>
              <w:t>6</w:t>
            </w:r>
          </w:p>
        </w:tc>
        <w:tc>
          <w:tcPr>
            <w:tcW w:w="1080" w:type="dxa"/>
            <w:vAlign w:val="center"/>
          </w:tcPr>
          <w:p w14:paraId="7606BA02">
            <w:pPr>
              <w:rPr>
                <w:rFonts w:ascii="宋体" w:hAnsi="宋体"/>
                <w:sz w:val="24"/>
                <w:highlight w:val="none"/>
              </w:rPr>
            </w:pPr>
          </w:p>
        </w:tc>
        <w:tc>
          <w:tcPr>
            <w:tcW w:w="2891" w:type="dxa"/>
            <w:vAlign w:val="center"/>
          </w:tcPr>
          <w:p w14:paraId="2C1B4978">
            <w:pPr>
              <w:rPr>
                <w:rFonts w:ascii="宋体" w:hAnsi="宋体"/>
                <w:sz w:val="24"/>
                <w:highlight w:val="none"/>
              </w:rPr>
            </w:pPr>
          </w:p>
        </w:tc>
        <w:tc>
          <w:tcPr>
            <w:tcW w:w="1110" w:type="dxa"/>
            <w:vAlign w:val="center"/>
          </w:tcPr>
          <w:p w14:paraId="2A7C99BB">
            <w:pPr>
              <w:rPr>
                <w:rFonts w:ascii="宋体" w:hAnsi="宋体"/>
                <w:sz w:val="24"/>
                <w:highlight w:val="none"/>
              </w:rPr>
            </w:pPr>
          </w:p>
        </w:tc>
        <w:tc>
          <w:tcPr>
            <w:tcW w:w="2613" w:type="dxa"/>
            <w:vAlign w:val="center"/>
          </w:tcPr>
          <w:p w14:paraId="1DA817ED">
            <w:pPr>
              <w:rPr>
                <w:rFonts w:ascii="宋体" w:hAnsi="宋体"/>
                <w:sz w:val="24"/>
                <w:highlight w:val="none"/>
              </w:rPr>
            </w:pPr>
          </w:p>
        </w:tc>
      </w:tr>
      <w:tr w14:paraId="65486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5C9D890">
            <w:pPr>
              <w:jc w:val="center"/>
              <w:rPr>
                <w:rFonts w:ascii="宋体" w:hAnsi="宋体"/>
                <w:sz w:val="24"/>
                <w:highlight w:val="none"/>
              </w:rPr>
            </w:pPr>
            <w:r>
              <w:rPr>
                <w:rFonts w:hint="eastAsia" w:ascii="宋体" w:hAnsi="宋体"/>
                <w:sz w:val="24"/>
                <w:highlight w:val="none"/>
              </w:rPr>
              <w:t>7</w:t>
            </w:r>
          </w:p>
        </w:tc>
        <w:tc>
          <w:tcPr>
            <w:tcW w:w="1080" w:type="dxa"/>
            <w:vAlign w:val="center"/>
          </w:tcPr>
          <w:p w14:paraId="62A779FE">
            <w:pPr>
              <w:rPr>
                <w:rFonts w:ascii="宋体" w:hAnsi="宋体"/>
                <w:sz w:val="24"/>
                <w:highlight w:val="none"/>
              </w:rPr>
            </w:pPr>
          </w:p>
        </w:tc>
        <w:tc>
          <w:tcPr>
            <w:tcW w:w="2891" w:type="dxa"/>
            <w:vAlign w:val="center"/>
          </w:tcPr>
          <w:p w14:paraId="37A4BDED">
            <w:pPr>
              <w:rPr>
                <w:rFonts w:ascii="宋体" w:hAnsi="宋体"/>
                <w:sz w:val="24"/>
                <w:highlight w:val="none"/>
              </w:rPr>
            </w:pPr>
          </w:p>
        </w:tc>
        <w:tc>
          <w:tcPr>
            <w:tcW w:w="1110" w:type="dxa"/>
            <w:vAlign w:val="center"/>
          </w:tcPr>
          <w:p w14:paraId="7167FC99">
            <w:pPr>
              <w:rPr>
                <w:rFonts w:ascii="宋体" w:hAnsi="宋体"/>
                <w:sz w:val="24"/>
                <w:highlight w:val="none"/>
              </w:rPr>
            </w:pPr>
          </w:p>
        </w:tc>
        <w:tc>
          <w:tcPr>
            <w:tcW w:w="2613" w:type="dxa"/>
            <w:vAlign w:val="center"/>
          </w:tcPr>
          <w:p w14:paraId="0D9C42C3">
            <w:pPr>
              <w:rPr>
                <w:rFonts w:ascii="宋体" w:hAnsi="宋体"/>
                <w:sz w:val="24"/>
                <w:highlight w:val="none"/>
              </w:rPr>
            </w:pPr>
          </w:p>
        </w:tc>
      </w:tr>
      <w:tr w14:paraId="7F21C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81BB0E1">
            <w:pPr>
              <w:jc w:val="center"/>
              <w:rPr>
                <w:rFonts w:ascii="宋体" w:hAnsi="宋体"/>
                <w:sz w:val="24"/>
                <w:highlight w:val="none"/>
              </w:rPr>
            </w:pPr>
            <w:r>
              <w:rPr>
                <w:rFonts w:hint="eastAsia" w:ascii="宋体" w:hAnsi="宋体"/>
                <w:sz w:val="24"/>
                <w:highlight w:val="none"/>
              </w:rPr>
              <w:t>8</w:t>
            </w:r>
          </w:p>
        </w:tc>
        <w:tc>
          <w:tcPr>
            <w:tcW w:w="1080" w:type="dxa"/>
            <w:vAlign w:val="center"/>
          </w:tcPr>
          <w:p w14:paraId="3A491E6B">
            <w:pPr>
              <w:rPr>
                <w:rFonts w:ascii="宋体" w:hAnsi="宋体"/>
                <w:sz w:val="24"/>
                <w:highlight w:val="none"/>
              </w:rPr>
            </w:pPr>
          </w:p>
        </w:tc>
        <w:tc>
          <w:tcPr>
            <w:tcW w:w="2891" w:type="dxa"/>
            <w:vAlign w:val="center"/>
          </w:tcPr>
          <w:p w14:paraId="5B511567">
            <w:pPr>
              <w:rPr>
                <w:rFonts w:ascii="宋体" w:hAnsi="宋体"/>
                <w:sz w:val="24"/>
                <w:highlight w:val="none"/>
              </w:rPr>
            </w:pPr>
          </w:p>
        </w:tc>
        <w:tc>
          <w:tcPr>
            <w:tcW w:w="1110" w:type="dxa"/>
            <w:vAlign w:val="center"/>
          </w:tcPr>
          <w:p w14:paraId="11812623">
            <w:pPr>
              <w:rPr>
                <w:rFonts w:ascii="宋体" w:hAnsi="宋体"/>
                <w:sz w:val="24"/>
                <w:highlight w:val="none"/>
              </w:rPr>
            </w:pPr>
          </w:p>
        </w:tc>
        <w:tc>
          <w:tcPr>
            <w:tcW w:w="2613" w:type="dxa"/>
            <w:vAlign w:val="center"/>
          </w:tcPr>
          <w:p w14:paraId="4927DFDA">
            <w:pPr>
              <w:rPr>
                <w:rFonts w:ascii="宋体" w:hAnsi="宋体"/>
                <w:sz w:val="24"/>
                <w:highlight w:val="none"/>
              </w:rPr>
            </w:pPr>
          </w:p>
        </w:tc>
      </w:tr>
      <w:tr w14:paraId="2731B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4B999CD">
            <w:pPr>
              <w:jc w:val="center"/>
              <w:rPr>
                <w:rFonts w:ascii="宋体" w:hAnsi="宋体"/>
                <w:sz w:val="24"/>
                <w:highlight w:val="none"/>
              </w:rPr>
            </w:pPr>
            <w:r>
              <w:rPr>
                <w:rFonts w:hint="eastAsia" w:ascii="宋体" w:hAnsi="宋体"/>
                <w:sz w:val="24"/>
                <w:highlight w:val="none"/>
              </w:rPr>
              <w:t>9</w:t>
            </w:r>
          </w:p>
        </w:tc>
        <w:tc>
          <w:tcPr>
            <w:tcW w:w="1080" w:type="dxa"/>
            <w:vAlign w:val="center"/>
          </w:tcPr>
          <w:p w14:paraId="3DAFD0CE">
            <w:pPr>
              <w:rPr>
                <w:rFonts w:ascii="宋体" w:hAnsi="宋体"/>
                <w:sz w:val="24"/>
                <w:highlight w:val="none"/>
              </w:rPr>
            </w:pPr>
          </w:p>
        </w:tc>
        <w:tc>
          <w:tcPr>
            <w:tcW w:w="2891" w:type="dxa"/>
            <w:vAlign w:val="center"/>
          </w:tcPr>
          <w:p w14:paraId="344B982C">
            <w:pPr>
              <w:rPr>
                <w:rFonts w:ascii="宋体" w:hAnsi="宋体"/>
                <w:sz w:val="24"/>
                <w:highlight w:val="none"/>
              </w:rPr>
            </w:pPr>
          </w:p>
        </w:tc>
        <w:tc>
          <w:tcPr>
            <w:tcW w:w="1110" w:type="dxa"/>
            <w:vAlign w:val="center"/>
          </w:tcPr>
          <w:p w14:paraId="6585B655">
            <w:pPr>
              <w:rPr>
                <w:rFonts w:ascii="宋体" w:hAnsi="宋体"/>
                <w:sz w:val="24"/>
                <w:highlight w:val="none"/>
              </w:rPr>
            </w:pPr>
          </w:p>
        </w:tc>
        <w:tc>
          <w:tcPr>
            <w:tcW w:w="2613" w:type="dxa"/>
            <w:vAlign w:val="center"/>
          </w:tcPr>
          <w:p w14:paraId="75603AFD">
            <w:pPr>
              <w:rPr>
                <w:rFonts w:ascii="宋体" w:hAnsi="宋体"/>
                <w:sz w:val="24"/>
                <w:highlight w:val="none"/>
              </w:rPr>
            </w:pPr>
          </w:p>
        </w:tc>
      </w:tr>
      <w:tr w14:paraId="7707F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12BD16E">
            <w:pPr>
              <w:jc w:val="center"/>
              <w:rPr>
                <w:rFonts w:ascii="宋体" w:hAnsi="宋体"/>
                <w:sz w:val="24"/>
                <w:highlight w:val="none"/>
              </w:rPr>
            </w:pPr>
            <w:r>
              <w:rPr>
                <w:rFonts w:hint="eastAsia" w:ascii="宋体" w:hAnsi="宋体"/>
                <w:sz w:val="24"/>
                <w:highlight w:val="none"/>
              </w:rPr>
              <w:t>10</w:t>
            </w:r>
          </w:p>
        </w:tc>
        <w:tc>
          <w:tcPr>
            <w:tcW w:w="1080" w:type="dxa"/>
            <w:vAlign w:val="center"/>
          </w:tcPr>
          <w:p w14:paraId="35B2CA04">
            <w:pPr>
              <w:rPr>
                <w:rFonts w:ascii="宋体" w:hAnsi="宋体"/>
                <w:sz w:val="24"/>
                <w:highlight w:val="none"/>
              </w:rPr>
            </w:pPr>
          </w:p>
        </w:tc>
        <w:tc>
          <w:tcPr>
            <w:tcW w:w="2891" w:type="dxa"/>
            <w:vAlign w:val="center"/>
          </w:tcPr>
          <w:p w14:paraId="20BD616A">
            <w:pPr>
              <w:rPr>
                <w:rFonts w:ascii="宋体" w:hAnsi="宋体"/>
                <w:sz w:val="24"/>
                <w:highlight w:val="none"/>
              </w:rPr>
            </w:pPr>
          </w:p>
        </w:tc>
        <w:tc>
          <w:tcPr>
            <w:tcW w:w="1110" w:type="dxa"/>
            <w:vAlign w:val="center"/>
          </w:tcPr>
          <w:p w14:paraId="1443763F">
            <w:pPr>
              <w:rPr>
                <w:rFonts w:ascii="宋体" w:hAnsi="宋体"/>
                <w:sz w:val="24"/>
                <w:highlight w:val="none"/>
              </w:rPr>
            </w:pPr>
          </w:p>
        </w:tc>
        <w:tc>
          <w:tcPr>
            <w:tcW w:w="2613" w:type="dxa"/>
            <w:vAlign w:val="center"/>
          </w:tcPr>
          <w:p w14:paraId="4C479ACE">
            <w:pPr>
              <w:rPr>
                <w:rFonts w:ascii="宋体" w:hAnsi="宋体"/>
                <w:sz w:val="24"/>
                <w:highlight w:val="none"/>
              </w:rPr>
            </w:pPr>
          </w:p>
        </w:tc>
      </w:tr>
      <w:tr w14:paraId="78846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443344">
            <w:pPr>
              <w:jc w:val="center"/>
              <w:rPr>
                <w:rFonts w:ascii="宋体" w:hAnsi="宋体"/>
                <w:sz w:val="24"/>
                <w:highlight w:val="none"/>
              </w:rPr>
            </w:pPr>
            <w:r>
              <w:rPr>
                <w:rFonts w:hint="eastAsia" w:ascii="宋体" w:hAnsi="宋体"/>
                <w:sz w:val="24"/>
                <w:highlight w:val="none"/>
              </w:rPr>
              <w:t>11</w:t>
            </w:r>
          </w:p>
        </w:tc>
        <w:tc>
          <w:tcPr>
            <w:tcW w:w="1080" w:type="dxa"/>
            <w:vAlign w:val="center"/>
          </w:tcPr>
          <w:p w14:paraId="5099F3A5">
            <w:pPr>
              <w:rPr>
                <w:rFonts w:ascii="宋体" w:hAnsi="宋体"/>
                <w:sz w:val="24"/>
                <w:highlight w:val="none"/>
              </w:rPr>
            </w:pPr>
          </w:p>
        </w:tc>
        <w:tc>
          <w:tcPr>
            <w:tcW w:w="2891" w:type="dxa"/>
            <w:vAlign w:val="center"/>
          </w:tcPr>
          <w:p w14:paraId="69BE0AD7">
            <w:pPr>
              <w:rPr>
                <w:rFonts w:ascii="宋体" w:hAnsi="宋体"/>
                <w:sz w:val="24"/>
                <w:highlight w:val="none"/>
              </w:rPr>
            </w:pPr>
          </w:p>
        </w:tc>
        <w:tc>
          <w:tcPr>
            <w:tcW w:w="1110" w:type="dxa"/>
            <w:vAlign w:val="center"/>
          </w:tcPr>
          <w:p w14:paraId="1E150FAE">
            <w:pPr>
              <w:rPr>
                <w:rFonts w:ascii="宋体" w:hAnsi="宋体"/>
                <w:sz w:val="24"/>
                <w:highlight w:val="none"/>
              </w:rPr>
            </w:pPr>
          </w:p>
        </w:tc>
        <w:tc>
          <w:tcPr>
            <w:tcW w:w="2613" w:type="dxa"/>
            <w:vAlign w:val="center"/>
          </w:tcPr>
          <w:p w14:paraId="5E07CA8C">
            <w:pPr>
              <w:rPr>
                <w:rFonts w:ascii="宋体" w:hAnsi="宋体"/>
                <w:sz w:val="24"/>
                <w:highlight w:val="none"/>
              </w:rPr>
            </w:pPr>
          </w:p>
        </w:tc>
      </w:tr>
      <w:tr w14:paraId="65DA0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DBEC9B7">
            <w:pPr>
              <w:jc w:val="center"/>
              <w:rPr>
                <w:rFonts w:ascii="宋体" w:hAnsi="宋体"/>
                <w:sz w:val="24"/>
                <w:highlight w:val="none"/>
              </w:rPr>
            </w:pPr>
            <w:r>
              <w:rPr>
                <w:rFonts w:hint="eastAsia" w:ascii="宋体" w:hAnsi="宋体"/>
                <w:sz w:val="24"/>
                <w:highlight w:val="none"/>
              </w:rPr>
              <w:t>12</w:t>
            </w:r>
          </w:p>
        </w:tc>
        <w:tc>
          <w:tcPr>
            <w:tcW w:w="1080" w:type="dxa"/>
            <w:vAlign w:val="center"/>
          </w:tcPr>
          <w:p w14:paraId="5C56B885">
            <w:pPr>
              <w:rPr>
                <w:rFonts w:ascii="宋体" w:hAnsi="宋体"/>
                <w:sz w:val="24"/>
                <w:highlight w:val="none"/>
              </w:rPr>
            </w:pPr>
          </w:p>
        </w:tc>
        <w:tc>
          <w:tcPr>
            <w:tcW w:w="2891" w:type="dxa"/>
            <w:vAlign w:val="center"/>
          </w:tcPr>
          <w:p w14:paraId="7C32E011">
            <w:pPr>
              <w:rPr>
                <w:rFonts w:ascii="宋体" w:hAnsi="宋体"/>
                <w:sz w:val="24"/>
                <w:highlight w:val="none"/>
              </w:rPr>
            </w:pPr>
          </w:p>
        </w:tc>
        <w:tc>
          <w:tcPr>
            <w:tcW w:w="1110" w:type="dxa"/>
            <w:vAlign w:val="center"/>
          </w:tcPr>
          <w:p w14:paraId="31705600">
            <w:pPr>
              <w:rPr>
                <w:rFonts w:ascii="宋体" w:hAnsi="宋体"/>
                <w:sz w:val="24"/>
                <w:highlight w:val="none"/>
              </w:rPr>
            </w:pPr>
          </w:p>
        </w:tc>
        <w:tc>
          <w:tcPr>
            <w:tcW w:w="2613" w:type="dxa"/>
            <w:vAlign w:val="center"/>
          </w:tcPr>
          <w:p w14:paraId="290434A9">
            <w:pPr>
              <w:rPr>
                <w:rFonts w:ascii="宋体" w:hAnsi="宋体"/>
                <w:sz w:val="24"/>
                <w:highlight w:val="none"/>
              </w:rPr>
            </w:pPr>
          </w:p>
        </w:tc>
      </w:tr>
      <w:tr w14:paraId="1EDDA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27B34F7">
            <w:pPr>
              <w:jc w:val="center"/>
              <w:rPr>
                <w:rFonts w:ascii="宋体" w:hAnsi="宋体"/>
                <w:sz w:val="24"/>
                <w:highlight w:val="none"/>
              </w:rPr>
            </w:pPr>
            <w:r>
              <w:rPr>
                <w:rFonts w:hint="eastAsia" w:ascii="宋体" w:hAnsi="宋体"/>
                <w:sz w:val="24"/>
                <w:highlight w:val="none"/>
              </w:rPr>
              <w:t>13</w:t>
            </w:r>
          </w:p>
        </w:tc>
        <w:tc>
          <w:tcPr>
            <w:tcW w:w="1080" w:type="dxa"/>
            <w:vAlign w:val="center"/>
          </w:tcPr>
          <w:p w14:paraId="74747DFD">
            <w:pPr>
              <w:rPr>
                <w:rFonts w:ascii="宋体" w:hAnsi="宋体"/>
                <w:sz w:val="24"/>
                <w:highlight w:val="none"/>
              </w:rPr>
            </w:pPr>
          </w:p>
        </w:tc>
        <w:tc>
          <w:tcPr>
            <w:tcW w:w="2891" w:type="dxa"/>
            <w:vAlign w:val="center"/>
          </w:tcPr>
          <w:p w14:paraId="30CEE2AD">
            <w:pPr>
              <w:rPr>
                <w:rFonts w:ascii="宋体" w:hAnsi="宋体"/>
                <w:sz w:val="24"/>
                <w:highlight w:val="none"/>
              </w:rPr>
            </w:pPr>
          </w:p>
        </w:tc>
        <w:tc>
          <w:tcPr>
            <w:tcW w:w="1110" w:type="dxa"/>
            <w:vAlign w:val="center"/>
          </w:tcPr>
          <w:p w14:paraId="6C22D06C">
            <w:pPr>
              <w:rPr>
                <w:rFonts w:ascii="宋体" w:hAnsi="宋体"/>
                <w:sz w:val="24"/>
                <w:highlight w:val="none"/>
              </w:rPr>
            </w:pPr>
          </w:p>
        </w:tc>
        <w:tc>
          <w:tcPr>
            <w:tcW w:w="2613" w:type="dxa"/>
            <w:vAlign w:val="center"/>
          </w:tcPr>
          <w:p w14:paraId="27CACB09">
            <w:pPr>
              <w:rPr>
                <w:rFonts w:ascii="宋体" w:hAnsi="宋体"/>
                <w:sz w:val="24"/>
                <w:highlight w:val="none"/>
              </w:rPr>
            </w:pPr>
          </w:p>
        </w:tc>
      </w:tr>
    </w:tbl>
    <w:p w14:paraId="27FF42D7">
      <w:pPr>
        <w:rPr>
          <w:rFonts w:ascii="宋体" w:hAnsi="宋体"/>
          <w:sz w:val="24"/>
          <w:highlight w:val="none"/>
        </w:rPr>
      </w:pPr>
      <w:r>
        <w:rPr>
          <w:rFonts w:hint="eastAsia" w:ascii="宋体" w:hAnsi="宋体"/>
          <w:b/>
          <w:sz w:val="24"/>
          <w:highlight w:val="none"/>
        </w:rPr>
        <w:t>注：</w:t>
      </w:r>
      <w:r>
        <w:rPr>
          <w:rFonts w:hint="eastAsia" w:ascii="宋体" w:hAnsi="宋体"/>
          <w:sz w:val="24"/>
          <w:highlight w:val="none"/>
        </w:rPr>
        <w:t>即使投标人进行了描述，也要提报该表，</w:t>
      </w:r>
      <w:r>
        <w:rPr>
          <w:rFonts w:hint="eastAsia" w:ascii="宋体" w:hAnsi="宋体"/>
          <w:b/>
          <w:sz w:val="24"/>
          <w:highlight w:val="none"/>
        </w:rPr>
        <w:t>无该表则被视为“无偏离”。</w:t>
      </w:r>
      <w:r>
        <w:rPr>
          <w:rFonts w:hint="eastAsia" w:ascii="宋体" w:hAnsi="宋体"/>
          <w:sz w:val="24"/>
          <w:highlight w:val="none"/>
        </w:rPr>
        <w:t>如无偏离注明“无”字。</w:t>
      </w:r>
    </w:p>
    <w:p w14:paraId="70BA1C91">
      <w:pPr>
        <w:pStyle w:val="10"/>
        <w:spacing w:line="360" w:lineRule="auto"/>
        <w:rPr>
          <w:rFonts w:hAnsi="宋体"/>
          <w:b/>
          <w:bCs/>
          <w:sz w:val="28"/>
          <w:szCs w:val="28"/>
          <w:highlight w:val="none"/>
        </w:rPr>
      </w:pPr>
    </w:p>
    <w:p w14:paraId="6A46418D">
      <w:pPr>
        <w:rPr>
          <w:highlight w:val="none"/>
        </w:rPr>
      </w:pPr>
      <w:r>
        <w:rPr>
          <w:rFonts w:hint="eastAsia" w:ascii="宋体" w:hAnsi="宋体"/>
          <w:sz w:val="24"/>
          <w:highlight w:val="none"/>
        </w:rPr>
        <w:t xml:space="preserve"> </w:t>
      </w:r>
      <w:r>
        <w:rPr>
          <w:rFonts w:ascii="宋体" w:hAnsi="宋体"/>
          <w:sz w:val="24"/>
          <w:highlight w:val="none"/>
        </w:rPr>
        <w:t xml:space="preserve">     </w:t>
      </w:r>
      <w:r>
        <w:rPr>
          <w:rFonts w:hint="eastAsia" w:ascii="宋体" w:hAnsi="宋体"/>
          <w:sz w:val="24"/>
          <w:highlight w:val="none"/>
        </w:rPr>
        <w:t>投标人名称：                   授权代表签字：            日期：</w:t>
      </w:r>
    </w:p>
    <w:p w14:paraId="14DE6131">
      <w:pPr>
        <w:rPr>
          <w:rFonts w:eastAsia="黑体"/>
          <w:b/>
          <w:bCs/>
          <w:sz w:val="28"/>
          <w:highlight w:val="none"/>
        </w:rPr>
      </w:pPr>
    </w:p>
    <w:p w14:paraId="7D98D275">
      <w:pPr>
        <w:rPr>
          <w:highlight w:val="none"/>
        </w:rPr>
      </w:pPr>
      <w:bookmarkStart w:id="18" w:name="_Toc32530"/>
    </w:p>
    <w:p w14:paraId="1BA11F80">
      <w:pPr>
        <w:pStyle w:val="13"/>
        <w:rPr>
          <w:highlight w:val="none"/>
        </w:rPr>
      </w:pPr>
    </w:p>
    <w:p w14:paraId="2B644252">
      <w:pPr>
        <w:rPr>
          <w:rFonts w:ascii="宋体" w:hAnsi="宋体"/>
          <w:sz w:val="24"/>
          <w:highlight w:val="none"/>
        </w:rPr>
      </w:pPr>
      <w:r>
        <w:rPr>
          <w:rFonts w:hint="eastAsia" w:ascii="宋体" w:hAnsi="宋体"/>
          <w:sz w:val="24"/>
          <w:highlight w:val="none"/>
        </w:rPr>
        <w:t>附件5</w:t>
      </w:r>
      <w:bookmarkEnd w:id="18"/>
    </w:p>
    <w:p w14:paraId="587F1CA9">
      <w:pPr>
        <w:jc w:val="center"/>
        <w:rPr>
          <w:rFonts w:eastAsia="黑体"/>
          <w:b/>
          <w:bCs/>
          <w:sz w:val="28"/>
          <w:highlight w:val="none"/>
        </w:rPr>
      </w:pPr>
      <w:r>
        <w:rPr>
          <w:rFonts w:hint="eastAsia" w:eastAsia="黑体"/>
          <w:b/>
          <w:bCs/>
          <w:sz w:val="28"/>
          <w:highlight w:val="none"/>
        </w:rPr>
        <w:t>封面格式（参考）</w:t>
      </w:r>
    </w:p>
    <w:p w14:paraId="5B19DC6C">
      <w:pPr>
        <w:jc w:val="center"/>
        <w:rPr>
          <w:rFonts w:eastAsia="黑体"/>
          <w:b/>
          <w:bCs/>
          <w:sz w:val="28"/>
          <w:highlight w:val="none"/>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5F19B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10175084">
            <w:pPr>
              <w:pStyle w:val="8"/>
              <w:ind w:firstLine="470"/>
              <w:jc w:val="left"/>
              <w:rPr>
                <w:rFonts w:ascii="宋体" w:hAnsi="宋体"/>
                <w:sz w:val="24"/>
                <w:szCs w:val="24"/>
                <w:highlight w:val="none"/>
              </w:rPr>
            </w:pPr>
          </w:p>
          <w:p w14:paraId="00A73D33">
            <w:pPr>
              <w:pStyle w:val="8"/>
              <w:ind w:left="0" w:leftChars="0"/>
              <w:jc w:val="left"/>
              <w:rPr>
                <w:rFonts w:ascii="宋体" w:hAnsi="宋体"/>
                <w:b/>
                <w:bCs/>
                <w:sz w:val="30"/>
                <w:szCs w:val="30"/>
                <w:highlight w:val="none"/>
              </w:rPr>
            </w:pPr>
            <w:r>
              <w:rPr>
                <w:rFonts w:hint="eastAsia" w:ascii="宋体" w:hAnsi="宋体" w:cs="宋体"/>
                <w:b/>
                <w:bCs/>
                <w:sz w:val="30"/>
                <w:szCs w:val="30"/>
                <w:highlight w:val="none"/>
              </w:rPr>
              <w:t>投标文件</w:t>
            </w:r>
          </w:p>
          <w:p w14:paraId="5B558AE6">
            <w:pPr>
              <w:pStyle w:val="8"/>
              <w:ind w:left="0" w:leftChars="0"/>
              <w:jc w:val="left"/>
              <w:rPr>
                <w:rFonts w:ascii="宋体" w:hAnsi="宋体"/>
                <w:sz w:val="30"/>
                <w:szCs w:val="30"/>
                <w:highlight w:val="none"/>
              </w:rPr>
            </w:pPr>
            <w:r>
              <w:rPr>
                <w:rFonts w:hint="eastAsia" w:ascii="宋体" w:hAnsi="宋体" w:cs="宋体"/>
                <w:b/>
                <w:bCs/>
                <w:sz w:val="30"/>
                <w:szCs w:val="30"/>
                <w:highlight w:val="none"/>
              </w:rPr>
              <w:t>（正本）</w:t>
            </w:r>
          </w:p>
          <w:p w14:paraId="7DE7E6AB">
            <w:pPr>
              <w:pStyle w:val="8"/>
              <w:ind w:firstLine="353"/>
              <w:jc w:val="left"/>
              <w:rPr>
                <w:rFonts w:ascii="宋体" w:hAnsi="宋体"/>
                <w:sz w:val="18"/>
                <w:szCs w:val="18"/>
                <w:highlight w:val="none"/>
              </w:rPr>
            </w:pPr>
          </w:p>
          <w:p w14:paraId="1CC9B294">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项目名称：</w:t>
            </w:r>
          </w:p>
          <w:p w14:paraId="2A530906">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投标人名称（公章）：</w:t>
            </w:r>
          </w:p>
          <w:p w14:paraId="7E67F1C9">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地址：</w:t>
            </w:r>
          </w:p>
          <w:p w14:paraId="7FCC4F80">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电话：</w:t>
            </w:r>
          </w:p>
          <w:p w14:paraId="7CCB8337">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传真：</w:t>
            </w:r>
          </w:p>
          <w:p w14:paraId="57CBA65C">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c>
          <w:tcPr>
            <w:tcW w:w="4775" w:type="dxa"/>
          </w:tcPr>
          <w:p w14:paraId="4FDF7E66">
            <w:pPr>
              <w:pStyle w:val="8"/>
              <w:ind w:firstLine="470"/>
              <w:jc w:val="left"/>
              <w:rPr>
                <w:rFonts w:ascii="宋体" w:hAnsi="宋体"/>
                <w:sz w:val="24"/>
                <w:szCs w:val="24"/>
                <w:highlight w:val="none"/>
              </w:rPr>
            </w:pPr>
          </w:p>
          <w:p w14:paraId="6073203A">
            <w:pPr>
              <w:pStyle w:val="8"/>
              <w:ind w:left="0" w:leftChars="0"/>
              <w:jc w:val="left"/>
              <w:rPr>
                <w:rFonts w:ascii="宋体" w:hAnsi="宋体"/>
                <w:b/>
                <w:bCs/>
                <w:sz w:val="30"/>
                <w:szCs w:val="30"/>
                <w:highlight w:val="none"/>
              </w:rPr>
            </w:pPr>
            <w:r>
              <w:rPr>
                <w:rFonts w:hint="eastAsia" w:ascii="宋体" w:hAnsi="宋体" w:cs="宋体"/>
                <w:b/>
                <w:bCs/>
                <w:sz w:val="30"/>
                <w:szCs w:val="30"/>
                <w:highlight w:val="none"/>
              </w:rPr>
              <w:t>投标文件</w:t>
            </w:r>
          </w:p>
          <w:p w14:paraId="29914E6B">
            <w:pPr>
              <w:pStyle w:val="8"/>
              <w:ind w:left="0" w:leftChars="0"/>
              <w:jc w:val="left"/>
              <w:rPr>
                <w:rFonts w:ascii="宋体" w:hAnsi="宋体"/>
                <w:sz w:val="30"/>
                <w:szCs w:val="30"/>
                <w:highlight w:val="none"/>
              </w:rPr>
            </w:pPr>
            <w:r>
              <w:rPr>
                <w:rFonts w:hint="eastAsia" w:ascii="宋体" w:hAnsi="宋体" w:cs="宋体"/>
                <w:b/>
                <w:bCs/>
                <w:sz w:val="30"/>
                <w:szCs w:val="30"/>
                <w:highlight w:val="none"/>
              </w:rPr>
              <w:t>（副本）</w:t>
            </w:r>
          </w:p>
          <w:p w14:paraId="721C98A5">
            <w:pPr>
              <w:pStyle w:val="8"/>
              <w:ind w:firstLine="353"/>
              <w:jc w:val="left"/>
              <w:rPr>
                <w:rFonts w:ascii="宋体" w:hAnsi="宋体"/>
                <w:sz w:val="18"/>
                <w:szCs w:val="18"/>
                <w:highlight w:val="none"/>
              </w:rPr>
            </w:pPr>
          </w:p>
          <w:p w14:paraId="279498F1">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项目名称：</w:t>
            </w:r>
          </w:p>
          <w:p w14:paraId="6EACF7A2">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投标人名称（公章）：</w:t>
            </w:r>
          </w:p>
          <w:p w14:paraId="456DD104">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地址：</w:t>
            </w:r>
          </w:p>
          <w:p w14:paraId="7EBFEEE1">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电话：</w:t>
            </w:r>
          </w:p>
          <w:p w14:paraId="491C06CA">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传真：</w:t>
            </w:r>
          </w:p>
          <w:p w14:paraId="5B6BD30B">
            <w:pPr>
              <w:pStyle w:val="8"/>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r>
    </w:tbl>
    <w:p w14:paraId="1D598BAB">
      <w:pPr>
        <w:pStyle w:val="8"/>
        <w:ind w:left="0" w:leftChars="0"/>
        <w:outlineLvl w:val="0"/>
        <w:rPr>
          <w:rFonts w:ascii="宋体" w:hAnsi="宋体"/>
          <w:b/>
          <w:bCs/>
          <w:sz w:val="32"/>
          <w:szCs w:val="32"/>
          <w:highlight w:val="none"/>
        </w:rPr>
      </w:pPr>
      <w:bookmarkStart w:id="19" w:name="_Toc15445"/>
      <w:r>
        <w:rPr>
          <w:rFonts w:hint="eastAsia" w:ascii="宋体" w:hAnsi="宋体" w:cs="宋体"/>
          <w:b/>
          <w:bCs/>
          <w:sz w:val="32"/>
          <w:szCs w:val="32"/>
          <w:highlight w:val="none"/>
        </w:rPr>
        <w:t>封口格式：</w:t>
      </w:r>
      <w:bookmarkEnd w:id="19"/>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6BA80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54BB52B7">
            <w:pPr>
              <w:pStyle w:val="8"/>
              <w:ind w:left="0" w:leftChars="0"/>
              <w:rPr>
                <w:rFonts w:ascii="宋体" w:hAnsi="宋体"/>
                <w:sz w:val="24"/>
                <w:szCs w:val="24"/>
                <w:highlight w:val="none"/>
              </w:rPr>
            </w:pPr>
            <w:r>
              <w:rPr>
                <w:rFonts w:hint="eastAsia" w:ascii="宋体" w:hAnsi="宋体" w:cs="宋体"/>
                <w:sz w:val="24"/>
                <w:szCs w:val="24"/>
                <w:highlight w:val="none"/>
              </w:rPr>
              <w:t>……………………于</w:t>
            </w:r>
            <w:r>
              <w:rPr>
                <w:rFonts w:hint="eastAsia" w:ascii="宋体" w:hAnsi="宋体" w:cs="宋体"/>
                <w:sz w:val="24"/>
                <w:szCs w:val="24"/>
                <w:highlight w:val="none"/>
                <w:u w:val="single"/>
              </w:rPr>
              <w:t xml:space="preserve">     </w:t>
            </w:r>
            <w:r>
              <w:rPr>
                <w:rFonts w:ascii="宋体" w:hAnsi="宋体" w:cs="宋体"/>
                <w:sz w:val="24"/>
                <w:szCs w:val="24"/>
                <w:highlight w:val="none"/>
              </w:rPr>
              <w:t>年</w:t>
            </w:r>
            <w:r>
              <w:rPr>
                <w:rFonts w:ascii="宋体" w:hAnsi="宋体" w:cs="宋体"/>
                <w:sz w:val="24"/>
                <w:szCs w:val="24"/>
                <w:highlight w:val="none"/>
                <w:u w:val="single"/>
              </w:rPr>
              <w:t xml:space="preserve">  </w:t>
            </w:r>
            <w:r>
              <w:rPr>
                <w:rFonts w:hint="eastAsia" w:ascii="宋体" w:hAnsi="宋体" w:cs="宋体"/>
                <w:sz w:val="24"/>
                <w:szCs w:val="24"/>
                <w:highlight w:val="none"/>
              </w:rPr>
              <w:t>月</w:t>
            </w:r>
            <w:r>
              <w:rPr>
                <w:rFonts w:ascii="宋体" w:hAnsi="宋体" w:cs="宋体"/>
                <w:sz w:val="24"/>
                <w:szCs w:val="24"/>
                <w:highlight w:val="none"/>
                <w:u w:val="single"/>
              </w:rPr>
              <w:t xml:space="preserve">  </w:t>
            </w:r>
            <w:r>
              <w:rPr>
                <w:rFonts w:hint="eastAsia" w:ascii="宋体" w:hAnsi="宋体" w:cs="宋体"/>
                <w:sz w:val="24"/>
                <w:szCs w:val="24"/>
                <w:highlight w:val="none"/>
              </w:rPr>
              <w:t>日</w:t>
            </w:r>
            <w:r>
              <w:rPr>
                <w:rFonts w:hint="eastAsia" w:ascii="宋体" w:hAnsi="宋体" w:cs="宋体"/>
                <w:sz w:val="24"/>
                <w:szCs w:val="24"/>
                <w:highlight w:val="none"/>
                <w:u w:val="single"/>
              </w:rPr>
              <w:t xml:space="preserve">  </w:t>
            </w:r>
            <w:r>
              <w:rPr>
                <w:rFonts w:hint="eastAsia" w:ascii="宋体" w:hAnsi="宋体" w:cs="宋体"/>
                <w:sz w:val="24"/>
                <w:szCs w:val="24"/>
                <w:highlight w:val="none"/>
              </w:rPr>
              <w:t>时之前不准启封（公章）…………………</w:t>
            </w:r>
          </w:p>
        </w:tc>
      </w:tr>
    </w:tbl>
    <w:p w14:paraId="3665ADE5">
      <w:pPr>
        <w:tabs>
          <w:tab w:val="left" w:pos="1620"/>
        </w:tabs>
        <w:spacing w:line="400" w:lineRule="exact"/>
        <w:rPr>
          <w:rFonts w:ascii="黑体" w:hAnsi="Courier New" w:eastAsia="黑体"/>
          <w:b/>
          <w:bCs/>
          <w:sz w:val="36"/>
          <w:szCs w:val="36"/>
          <w:highlight w:val="none"/>
        </w:rPr>
      </w:pPr>
    </w:p>
    <w:p w14:paraId="48A1AAC5">
      <w:pPr>
        <w:rPr>
          <w:highlight w:val="none"/>
        </w:rPr>
      </w:pPr>
    </w:p>
    <w:p w14:paraId="2F347793">
      <w:pPr>
        <w:rPr>
          <w:rFonts w:eastAsia="黑体"/>
          <w:b/>
          <w:bCs/>
          <w:sz w:val="28"/>
          <w:highlight w:val="none"/>
        </w:rPr>
      </w:pPr>
    </w:p>
    <w:p w14:paraId="2F1FB331">
      <w:pPr>
        <w:rPr>
          <w:rFonts w:eastAsia="黑体"/>
          <w:b/>
          <w:bCs/>
          <w:sz w:val="28"/>
          <w:highlight w:val="none"/>
        </w:rPr>
      </w:pPr>
    </w:p>
    <w:p w14:paraId="035D15BA">
      <w:pPr>
        <w:rPr>
          <w:rFonts w:eastAsia="黑体"/>
          <w:b/>
          <w:bCs/>
          <w:sz w:val="28"/>
          <w:highlight w:val="none"/>
        </w:rPr>
      </w:pPr>
    </w:p>
    <w:p w14:paraId="26933695">
      <w:pPr>
        <w:pStyle w:val="10"/>
        <w:spacing w:line="440" w:lineRule="exact"/>
        <w:rPr>
          <w:rFonts w:ascii="Times New Roman" w:hAnsi="Times New Roman" w:eastAsia="黑体" w:cs="Times New Roman"/>
          <w:b/>
          <w:bCs/>
          <w:sz w:val="28"/>
          <w:szCs w:val="20"/>
          <w:highlight w:val="none"/>
        </w:rPr>
      </w:pPr>
    </w:p>
    <w:p w14:paraId="6A571DFA">
      <w:pPr>
        <w:pStyle w:val="10"/>
        <w:spacing w:line="440" w:lineRule="exact"/>
        <w:jc w:val="center"/>
        <w:rPr>
          <w:rFonts w:ascii="Times New Roman" w:hAnsi="Times New Roman" w:eastAsia="黑体" w:cs="Times New Roman"/>
          <w:b/>
          <w:bCs/>
          <w:sz w:val="28"/>
          <w:szCs w:val="20"/>
          <w:highlight w:val="none"/>
        </w:rPr>
      </w:pPr>
    </w:p>
    <w:p w14:paraId="3FE0A502">
      <w:pPr>
        <w:pStyle w:val="10"/>
        <w:spacing w:line="440" w:lineRule="exact"/>
        <w:jc w:val="center"/>
        <w:outlineLvl w:val="1"/>
        <w:rPr>
          <w:rFonts w:ascii="Times New Roman" w:hAnsi="Times New Roman" w:eastAsia="黑体" w:cs="Times New Roman"/>
          <w:b/>
          <w:bCs/>
          <w:sz w:val="36"/>
          <w:highlight w:val="none"/>
        </w:rPr>
      </w:pPr>
    </w:p>
    <w:p w14:paraId="50F3E996">
      <w:pPr>
        <w:pStyle w:val="10"/>
        <w:spacing w:line="440" w:lineRule="exact"/>
        <w:jc w:val="center"/>
        <w:outlineLvl w:val="1"/>
        <w:rPr>
          <w:rFonts w:ascii="Times New Roman" w:hAnsi="Times New Roman" w:eastAsia="黑体" w:cs="Times New Roman"/>
          <w:b/>
          <w:bCs/>
          <w:sz w:val="36"/>
          <w:highlight w:val="none"/>
        </w:rPr>
      </w:pPr>
    </w:p>
    <w:p w14:paraId="15CC371F">
      <w:pPr>
        <w:pStyle w:val="10"/>
        <w:spacing w:line="440" w:lineRule="exact"/>
        <w:jc w:val="center"/>
        <w:outlineLvl w:val="1"/>
        <w:rPr>
          <w:rFonts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 xml:space="preserve"> </w:t>
      </w:r>
    </w:p>
    <w:p w14:paraId="4DEDA99B">
      <w:pPr>
        <w:rPr>
          <w:rFonts w:eastAsia="黑体"/>
          <w:b/>
          <w:bCs/>
          <w:sz w:val="36"/>
          <w:szCs w:val="22"/>
          <w:highlight w:val="none"/>
        </w:rPr>
      </w:pPr>
      <w:r>
        <w:rPr>
          <w:rFonts w:hint="eastAsia" w:eastAsia="黑体"/>
          <w:b/>
          <w:bCs/>
          <w:sz w:val="36"/>
          <w:szCs w:val="22"/>
          <w:highlight w:val="none"/>
        </w:rPr>
        <w:br w:type="page"/>
      </w:r>
    </w:p>
    <w:p w14:paraId="6FBCCE1E">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Ansi="宋体"/>
          <w:b/>
          <w:bCs/>
          <w:sz w:val="36"/>
          <w:szCs w:val="36"/>
          <w:highlight w:val="none"/>
        </w:rPr>
      </w:pPr>
      <w:r>
        <w:rPr>
          <w:rFonts w:hint="eastAsia" w:ascii="Times New Roman" w:hAnsi="Times New Roman" w:eastAsia="黑体" w:cs="Times New Roman"/>
          <w:b/>
          <w:bCs/>
          <w:sz w:val="32"/>
          <w:szCs w:val="21"/>
          <w:highlight w:val="none"/>
        </w:rPr>
        <w:t>技术协议书</w:t>
      </w:r>
    </w:p>
    <w:p w14:paraId="0A39EB72">
      <w:pPr>
        <w:pStyle w:val="10"/>
        <w:keepNext w:val="0"/>
        <w:keepLines w:val="0"/>
        <w:pageBreakBefore w:val="0"/>
        <w:widowControl w:val="0"/>
        <w:kinsoku/>
        <w:wordWrap/>
        <w:overflowPunct/>
        <w:topLinePunct w:val="0"/>
        <w:autoSpaceDE/>
        <w:autoSpaceDN/>
        <w:bidi w:val="0"/>
        <w:adjustRightInd/>
        <w:snapToGrid/>
        <w:spacing w:line="500" w:lineRule="exact"/>
        <w:ind w:left="1031" w:leftChars="200" w:hanging="611" w:hangingChars="290"/>
        <w:textAlignment w:val="auto"/>
        <w:outlineLvl w:val="1"/>
        <w:rPr>
          <w:rFonts w:ascii="黑体" w:hAnsi="黑体" w:eastAsia="黑体"/>
          <w:highlight w:val="none"/>
        </w:rPr>
      </w:pPr>
      <w:r>
        <w:rPr>
          <w:rFonts w:hint="eastAsia" w:ascii="黑体" w:hAnsi="黑体" w:eastAsia="黑体"/>
          <w:b/>
          <w:bCs/>
          <w:highlight w:val="none"/>
        </w:rPr>
        <w:t>一、项目名称</w:t>
      </w:r>
    </w:p>
    <w:p w14:paraId="7CF1C315">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highlight w:val="none"/>
        </w:rPr>
      </w:pPr>
      <w:r>
        <w:rPr>
          <w:rFonts w:hint="eastAsia" w:ascii="宋体" w:hAnsi="Courier New"/>
          <w:highlight w:val="none"/>
          <w:lang w:eastAsia="zh-CN"/>
        </w:rPr>
        <w:t>中国重汽新晋科级领导干部培训场地项目</w:t>
      </w:r>
      <w:r>
        <w:rPr>
          <w:rFonts w:hint="eastAsia"/>
          <w:highlight w:val="none"/>
        </w:rPr>
        <w:t>。</w:t>
      </w:r>
    </w:p>
    <w:p w14:paraId="73BC9B3E">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ascii="黑体" w:hAnsi="黑体" w:eastAsia="黑体"/>
          <w:b/>
          <w:bCs/>
          <w:highlight w:val="none"/>
        </w:rPr>
      </w:pPr>
      <w:r>
        <w:rPr>
          <w:rFonts w:hint="eastAsia" w:ascii="黑体" w:hAnsi="黑体" w:eastAsia="黑体" w:cstheme="minorBidi"/>
          <w:b/>
          <w:bCs/>
          <w:szCs w:val="22"/>
          <w:highlight w:val="none"/>
        </w:rPr>
        <w:t>二、标的组成</w:t>
      </w:r>
    </w:p>
    <w:p w14:paraId="538D9421">
      <w:pPr>
        <w:pStyle w:val="10"/>
        <w:keepNext w:val="0"/>
        <w:keepLines w:val="0"/>
        <w:pageBreakBefore w:val="0"/>
        <w:widowControl w:val="0"/>
        <w:kinsoku/>
        <w:wordWrap/>
        <w:overflowPunct/>
        <w:topLinePunct w:val="0"/>
        <w:autoSpaceDE/>
        <w:autoSpaceDN/>
        <w:bidi w:val="0"/>
        <w:adjustRightInd/>
        <w:snapToGrid/>
        <w:spacing w:line="500" w:lineRule="exact"/>
        <w:ind w:firstLine="420" w:firstLineChars="200"/>
        <w:jc w:val="left"/>
        <w:textAlignment w:val="auto"/>
        <w:rPr>
          <w:rFonts w:hint="eastAsia"/>
          <w:highlight w:val="none"/>
          <w:lang w:val="en-US" w:eastAsia="zh-CN"/>
        </w:rPr>
      </w:pPr>
      <w:r>
        <w:rPr>
          <w:rFonts w:hint="eastAsia"/>
          <w:highlight w:val="none"/>
          <w:lang w:val="en-US" w:eastAsia="zh-CN"/>
        </w:rPr>
        <w:t>培训共1期，2个班/期，40人/班，培训周期为7天。具体内容如下：</w:t>
      </w:r>
    </w:p>
    <w:tbl>
      <w:tblPr>
        <w:tblStyle w:val="20"/>
        <w:tblW w:w="9706" w:type="dxa"/>
        <w:jc w:val="center"/>
        <w:tblLayout w:type="fixed"/>
        <w:tblCellMar>
          <w:top w:w="0" w:type="dxa"/>
          <w:left w:w="108" w:type="dxa"/>
          <w:bottom w:w="0" w:type="dxa"/>
          <w:right w:w="108" w:type="dxa"/>
        </w:tblCellMar>
      </w:tblPr>
      <w:tblGrid>
        <w:gridCol w:w="850"/>
        <w:gridCol w:w="1316"/>
        <w:gridCol w:w="3609"/>
        <w:gridCol w:w="1113"/>
        <w:gridCol w:w="726"/>
        <w:gridCol w:w="726"/>
        <w:gridCol w:w="683"/>
        <w:gridCol w:w="683"/>
      </w:tblGrid>
      <w:tr w14:paraId="1C856EA1">
        <w:tblPrEx>
          <w:tblCellMar>
            <w:top w:w="0" w:type="dxa"/>
            <w:left w:w="108" w:type="dxa"/>
            <w:bottom w:w="0" w:type="dxa"/>
            <w:right w:w="108" w:type="dxa"/>
          </w:tblCellMar>
        </w:tblPrEx>
        <w:trPr>
          <w:trHeight w:val="680"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C6CAAD4">
            <w:pPr>
              <w:widowControl/>
              <w:spacing w:line="240" w:lineRule="auto"/>
              <w:jc w:val="center"/>
              <w:rPr>
                <w:rFonts w:hint="eastAsia" w:ascii="黑体" w:hAnsi="黑体" w:eastAsia="黑体" w:cs="宋体"/>
                <w:b/>
                <w:bCs/>
                <w:color w:val="000000"/>
                <w:kern w:val="0"/>
                <w:sz w:val="21"/>
                <w:szCs w:val="21"/>
                <w:highlight w:val="none"/>
              </w:rPr>
            </w:pPr>
            <w:r>
              <w:rPr>
                <w:rFonts w:hint="eastAsia" w:ascii="黑体" w:hAnsi="黑体" w:eastAsia="黑体" w:cs="宋体"/>
                <w:b/>
                <w:bCs/>
                <w:color w:val="000000"/>
                <w:kern w:val="0"/>
                <w:sz w:val="21"/>
                <w:szCs w:val="21"/>
                <w:highlight w:val="none"/>
              </w:rPr>
              <w:t>序号</w:t>
            </w:r>
          </w:p>
        </w:tc>
        <w:tc>
          <w:tcPr>
            <w:tcW w:w="1316" w:type="dxa"/>
            <w:tcBorders>
              <w:top w:val="single" w:color="auto" w:sz="4" w:space="0"/>
              <w:left w:val="nil"/>
              <w:bottom w:val="single" w:color="auto" w:sz="4" w:space="0"/>
              <w:right w:val="single" w:color="auto" w:sz="4" w:space="0"/>
            </w:tcBorders>
            <w:shd w:val="clear" w:color="auto" w:fill="auto"/>
            <w:vAlign w:val="center"/>
          </w:tcPr>
          <w:p w14:paraId="7FE260DA">
            <w:pPr>
              <w:widowControl/>
              <w:spacing w:line="240" w:lineRule="auto"/>
              <w:jc w:val="center"/>
              <w:rPr>
                <w:rFonts w:hint="eastAsia" w:ascii="黑体" w:hAnsi="黑体" w:eastAsia="黑体" w:cs="宋体"/>
                <w:b/>
                <w:bCs/>
                <w:color w:val="000000"/>
                <w:kern w:val="0"/>
                <w:sz w:val="21"/>
                <w:szCs w:val="21"/>
                <w:highlight w:val="none"/>
              </w:rPr>
            </w:pPr>
            <w:r>
              <w:rPr>
                <w:rFonts w:hint="eastAsia" w:ascii="黑体" w:hAnsi="黑体" w:eastAsia="黑体" w:cs="宋体"/>
                <w:b/>
                <w:bCs/>
                <w:color w:val="000000"/>
                <w:kern w:val="0"/>
                <w:sz w:val="21"/>
                <w:szCs w:val="21"/>
                <w:highlight w:val="none"/>
              </w:rPr>
              <w:t>物资/服务/...名称</w:t>
            </w:r>
          </w:p>
        </w:tc>
        <w:tc>
          <w:tcPr>
            <w:tcW w:w="3609" w:type="dxa"/>
            <w:tcBorders>
              <w:top w:val="single" w:color="auto" w:sz="4" w:space="0"/>
              <w:left w:val="nil"/>
              <w:bottom w:val="single" w:color="auto" w:sz="4" w:space="0"/>
              <w:right w:val="single" w:color="auto" w:sz="4" w:space="0"/>
            </w:tcBorders>
            <w:shd w:val="clear" w:color="auto" w:fill="auto"/>
            <w:vAlign w:val="center"/>
          </w:tcPr>
          <w:p w14:paraId="2AAA833B">
            <w:pPr>
              <w:widowControl/>
              <w:spacing w:line="240" w:lineRule="auto"/>
              <w:jc w:val="center"/>
              <w:rPr>
                <w:rFonts w:hint="eastAsia" w:ascii="黑体" w:hAnsi="黑体" w:eastAsia="黑体" w:cs="宋体"/>
                <w:b/>
                <w:bCs/>
                <w:color w:val="000000"/>
                <w:kern w:val="0"/>
                <w:sz w:val="21"/>
                <w:szCs w:val="21"/>
                <w:highlight w:val="none"/>
              </w:rPr>
            </w:pPr>
            <w:r>
              <w:rPr>
                <w:rFonts w:hint="eastAsia" w:ascii="黑体" w:hAnsi="黑体" w:eastAsia="黑体" w:cs="宋体"/>
                <w:b/>
                <w:bCs/>
                <w:color w:val="000000"/>
                <w:kern w:val="0"/>
                <w:sz w:val="21"/>
                <w:szCs w:val="21"/>
                <w:highlight w:val="none"/>
              </w:rPr>
              <w:t>规格</w:t>
            </w:r>
          </w:p>
        </w:tc>
        <w:tc>
          <w:tcPr>
            <w:tcW w:w="1113" w:type="dxa"/>
            <w:tcBorders>
              <w:top w:val="single" w:color="auto" w:sz="4" w:space="0"/>
              <w:left w:val="nil"/>
              <w:bottom w:val="single" w:color="auto" w:sz="4" w:space="0"/>
              <w:right w:val="single" w:color="auto" w:sz="4" w:space="0"/>
            </w:tcBorders>
            <w:shd w:val="clear" w:color="auto" w:fill="auto"/>
            <w:vAlign w:val="center"/>
          </w:tcPr>
          <w:p w14:paraId="49CAF79E">
            <w:pPr>
              <w:widowControl/>
              <w:spacing w:line="240" w:lineRule="auto"/>
              <w:jc w:val="center"/>
              <w:rPr>
                <w:rFonts w:hint="eastAsia" w:ascii="黑体" w:hAnsi="黑体" w:eastAsia="黑体" w:cs="宋体"/>
                <w:b/>
                <w:bCs/>
                <w:color w:val="000000"/>
                <w:kern w:val="0"/>
                <w:sz w:val="21"/>
                <w:szCs w:val="21"/>
                <w:highlight w:val="none"/>
              </w:rPr>
            </w:pPr>
            <w:r>
              <w:rPr>
                <w:rFonts w:hint="eastAsia" w:ascii="黑体" w:hAnsi="黑体" w:eastAsia="黑体" w:cs="宋体"/>
                <w:b/>
                <w:bCs/>
                <w:color w:val="000000"/>
                <w:kern w:val="0"/>
                <w:sz w:val="21"/>
                <w:szCs w:val="21"/>
                <w:highlight w:val="none"/>
              </w:rPr>
              <w:t>计量单位</w:t>
            </w:r>
          </w:p>
        </w:tc>
        <w:tc>
          <w:tcPr>
            <w:tcW w:w="726" w:type="dxa"/>
            <w:tcBorders>
              <w:top w:val="single" w:color="auto" w:sz="4" w:space="0"/>
              <w:left w:val="nil"/>
              <w:bottom w:val="single" w:color="auto" w:sz="4" w:space="0"/>
              <w:right w:val="single" w:color="auto" w:sz="4" w:space="0"/>
            </w:tcBorders>
            <w:shd w:val="clear" w:color="auto" w:fill="auto"/>
            <w:vAlign w:val="center"/>
          </w:tcPr>
          <w:p w14:paraId="75978938">
            <w:pPr>
              <w:widowControl/>
              <w:spacing w:line="240" w:lineRule="auto"/>
              <w:jc w:val="center"/>
              <w:rPr>
                <w:rFonts w:hint="eastAsia" w:ascii="黑体" w:hAnsi="黑体" w:eastAsia="黑体" w:cs="宋体"/>
                <w:b/>
                <w:bCs/>
                <w:color w:val="000000"/>
                <w:kern w:val="0"/>
                <w:sz w:val="21"/>
                <w:szCs w:val="21"/>
                <w:highlight w:val="none"/>
                <w:lang w:val="en-US" w:eastAsia="zh-CN"/>
              </w:rPr>
            </w:pPr>
            <w:r>
              <w:rPr>
                <w:rFonts w:hint="eastAsia" w:ascii="黑体" w:hAnsi="黑体" w:eastAsia="黑体" w:cs="宋体"/>
                <w:b/>
                <w:bCs/>
                <w:color w:val="000000"/>
                <w:kern w:val="0"/>
                <w:sz w:val="21"/>
                <w:szCs w:val="21"/>
                <w:highlight w:val="none"/>
              </w:rPr>
              <w:t>单</w:t>
            </w:r>
            <w:r>
              <w:rPr>
                <w:rFonts w:hint="eastAsia" w:ascii="黑体" w:hAnsi="黑体" w:eastAsia="黑体" w:cs="宋体"/>
                <w:b/>
                <w:bCs/>
                <w:color w:val="000000"/>
                <w:kern w:val="0"/>
                <w:sz w:val="21"/>
                <w:szCs w:val="21"/>
                <w:highlight w:val="none"/>
                <w:lang w:val="en-US" w:eastAsia="zh-CN"/>
              </w:rPr>
              <w:t>价</w:t>
            </w:r>
          </w:p>
          <w:p w14:paraId="1EDC8822">
            <w:pPr>
              <w:widowControl/>
              <w:spacing w:line="240" w:lineRule="auto"/>
              <w:jc w:val="center"/>
              <w:rPr>
                <w:rFonts w:hint="default" w:ascii="黑体" w:hAnsi="黑体" w:eastAsia="黑体" w:cs="宋体"/>
                <w:b/>
                <w:bCs/>
                <w:color w:val="000000"/>
                <w:kern w:val="0"/>
                <w:sz w:val="21"/>
                <w:szCs w:val="21"/>
                <w:highlight w:val="none"/>
                <w:lang w:val="en-US" w:eastAsia="zh-CN"/>
              </w:rPr>
            </w:pPr>
            <w:r>
              <w:rPr>
                <w:rFonts w:hint="eastAsia" w:ascii="黑体" w:hAnsi="黑体" w:eastAsia="黑体" w:cs="宋体"/>
                <w:b/>
                <w:bCs/>
                <w:color w:val="000000"/>
                <w:kern w:val="0"/>
                <w:sz w:val="21"/>
                <w:szCs w:val="21"/>
                <w:highlight w:val="none"/>
                <w:lang w:val="en-US" w:eastAsia="zh-CN"/>
              </w:rPr>
              <w:t>含税元</w:t>
            </w:r>
          </w:p>
        </w:tc>
        <w:tc>
          <w:tcPr>
            <w:tcW w:w="726" w:type="dxa"/>
            <w:tcBorders>
              <w:top w:val="single" w:color="auto" w:sz="4" w:space="0"/>
              <w:left w:val="nil"/>
              <w:bottom w:val="single" w:color="auto" w:sz="4" w:space="0"/>
              <w:right w:val="single" w:color="auto" w:sz="4" w:space="0"/>
            </w:tcBorders>
            <w:shd w:val="clear" w:color="auto" w:fill="auto"/>
            <w:vAlign w:val="center"/>
          </w:tcPr>
          <w:p w14:paraId="4E7D7746">
            <w:pPr>
              <w:widowControl/>
              <w:spacing w:line="240" w:lineRule="auto"/>
              <w:jc w:val="center"/>
              <w:rPr>
                <w:rFonts w:hint="eastAsia" w:ascii="黑体" w:hAnsi="黑体" w:eastAsia="黑体" w:cs="宋体"/>
                <w:b/>
                <w:bCs/>
                <w:color w:val="000000"/>
                <w:kern w:val="0"/>
                <w:sz w:val="21"/>
                <w:szCs w:val="21"/>
                <w:highlight w:val="none"/>
              </w:rPr>
            </w:pPr>
            <w:r>
              <w:rPr>
                <w:rFonts w:hint="eastAsia" w:ascii="黑体" w:hAnsi="黑体" w:eastAsia="黑体" w:cs="宋体"/>
                <w:b/>
                <w:bCs/>
                <w:color w:val="000000"/>
                <w:kern w:val="0"/>
                <w:sz w:val="21"/>
                <w:szCs w:val="21"/>
                <w:highlight w:val="none"/>
              </w:rPr>
              <w:t>单期</w:t>
            </w:r>
          </w:p>
          <w:p w14:paraId="63ED6A91">
            <w:pPr>
              <w:widowControl/>
              <w:spacing w:line="240" w:lineRule="auto"/>
              <w:jc w:val="center"/>
              <w:rPr>
                <w:rFonts w:hint="eastAsia" w:ascii="黑体" w:hAnsi="黑体" w:eastAsia="黑体" w:cs="宋体"/>
                <w:b/>
                <w:bCs/>
                <w:color w:val="000000"/>
                <w:kern w:val="0"/>
                <w:sz w:val="21"/>
                <w:szCs w:val="21"/>
                <w:highlight w:val="none"/>
                <w:lang w:val="en-US" w:eastAsia="zh-CN" w:bidi="ar-SA"/>
              </w:rPr>
            </w:pPr>
            <w:r>
              <w:rPr>
                <w:rFonts w:hint="eastAsia" w:ascii="黑体" w:hAnsi="黑体" w:eastAsia="黑体" w:cs="宋体"/>
                <w:b/>
                <w:bCs/>
                <w:color w:val="000000"/>
                <w:kern w:val="0"/>
                <w:sz w:val="21"/>
                <w:szCs w:val="21"/>
                <w:highlight w:val="none"/>
              </w:rPr>
              <w:t>数量</w:t>
            </w:r>
          </w:p>
        </w:tc>
        <w:tc>
          <w:tcPr>
            <w:tcW w:w="683" w:type="dxa"/>
            <w:tcBorders>
              <w:top w:val="single" w:color="auto" w:sz="4" w:space="0"/>
              <w:left w:val="nil"/>
              <w:bottom w:val="single" w:color="auto" w:sz="4" w:space="0"/>
              <w:right w:val="single" w:color="auto" w:sz="4" w:space="0"/>
            </w:tcBorders>
            <w:shd w:val="clear" w:color="auto" w:fill="auto"/>
            <w:vAlign w:val="center"/>
          </w:tcPr>
          <w:p w14:paraId="77831427">
            <w:pPr>
              <w:widowControl/>
              <w:spacing w:line="240" w:lineRule="auto"/>
              <w:jc w:val="center"/>
              <w:rPr>
                <w:rFonts w:hint="eastAsia" w:ascii="黑体" w:hAnsi="黑体" w:eastAsia="黑体" w:cs="宋体"/>
                <w:b/>
                <w:bCs/>
                <w:color w:val="000000"/>
                <w:kern w:val="0"/>
                <w:sz w:val="21"/>
                <w:szCs w:val="21"/>
                <w:highlight w:val="none"/>
              </w:rPr>
            </w:pPr>
            <w:r>
              <w:rPr>
                <w:rFonts w:hint="eastAsia" w:ascii="黑体" w:hAnsi="黑体" w:eastAsia="黑体" w:cs="宋体"/>
                <w:b/>
                <w:bCs/>
                <w:color w:val="000000"/>
                <w:kern w:val="0"/>
                <w:sz w:val="21"/>
                <w:szCs w:val="21"/>
                <w:highlight w:val="none"/>
              </w:rPr>
              <w:t>期数</w:t>
            </w:r>
          </w:p>
        </w:tc>
        <w:tc>
          <w:tcPr>
            <w:tcW w:w="683" w:type="dxa"/>
            <w:tcBorders>
              <w:top w:val="single" w:color="auto" w:sz="4" w:space="0"/>
              <w:left w:val="nil"/>
              <w:bottom w:val="single" w:color="auto" w:sz="4" w:space="0"/>
              <w:right w:val="single" w:color="auto" w:sz="4" w:space="0"/>
            </w:tcBorders>
            <w:shd w:val="clear" w:color="auto" w:fill="auto"/>
            <w:vAlign w:val="center"/>
          </w:tcPr>
          <w:p w14:paraId="5B3C6F55">
            <w:pPr>
              <w:widowControl/>
              <w:spacing w:line="240" w:lineRule="auto"/>
              <w:jc w:val="center"/>
              <w:rPr>
                <w:rFonts w:hint="eastAsia" w:ascii="黑体" w:hAnsi="黑体" w:eastAsia="黑体" w:cs="宋体"/>
                <w:b/>
                <w:bCs/>
                <w:color w:val="000000"/>
                <w:kern w:val="0"/>
                <w:sz w:val="21"/>
                <w:szCs w:val="21"/>
                <w:highlight w:val="none"/>
                <w:lang w:val="en-US" w:eastAsia="zh-CN"/>
              </w:rPr>
            </w:pPr>
            <w:r>
              <w:rPr>
                <w:rFonts w:hint="eastAsia" w:ascii="黑体" w:hAnsi="黑体" w:eastAsia="黑体" w:cs="宋体"/>
                <w:b/>
                <w:bCs/>
                <w:color w:val="000000"/>
                <w:kern w:val="0"/>
                <w:sz w:val="21"/>
                <w:szCs w:val="21"/>
                <w:highlight w:val="none"/>
                <w:lang w:val="en-US" w:eastAsia="zh-CN"/>
              </w:rPr>
              <w:t>总价</w:t>
            </w:r>
          </w:p>
          <w:p w14:paraId="31E308F4">
            <w:pPr>
              <w:widowControl/>
              <w:spacing w:line="240" w:lineRule="auto"/>
              <w:jc w:val="center"/>
              <w:rPr>
                <w:rFonts w:hint="eastAsia" w:ascii="黑体" w:hAnsi="黑体" w:eastAsia="黑体" w:cs="宋体"/>
                <w:b/>
                <w:bCs/>
                <w:color w:val="000000"/>
                <w:kern w:val="0"/>
                <w:sz w:val="21"/>
                <w:szCs w:val="21"/>
                <w:highlight w:val="none"/>
                <w:lang w:val="en-US" w:eastAsia="zh-CN"/>
              </w:rPr>
            </w:pPr>
            <w:r>
              <w:rPr>
                <w:rFonts w:hint="eastAsia" w:ascii="黑体" w:hAnsi="黑体" w:eastAsia="黑体" w:cs="宋体"/>
                <w:b/>
                <w:bCs/>
                <w:color w:val="000000"/>
                <w:kern w:val="0"/>
                <w:sz w:val="21"/>
                <w:szCs w:val="21"/>
                <w:highlight w:val="none"/>
                <w:lang w:val="en-US" w:eastAsia="zh-CN"/>
              </w:rPr>
              <w:t>含税元</w:t>
            </w:r>
          </w:p>
        </w:tc>
      </w:tr>
      <w:tr w14:paraId="4923DB4E">
        <w:tblPrEx>
          <w:tblCellMar>
            <w:top w:w="0" w:type="dxa"/>
            <w:left w:w="108" w:type="dxa"/>
            <w:bottom w:w="0" w:type="dxa"/>
            <w:right w:w="108" w:type="dxa"/>
          </w:tblCellMar>
        </w:tblPrEx>
        <w:trPr>
          <w:trHeight w:val="1378" w:hRule="atLeast"/>
          <w:jc w:val="center"/>
        </w:trPr>
        <w:tc>
          <w:tcPr>
            <w:tcW w:w="850" w:type="dxa"/>
            <w:tcBorders>
              <w:top w:val="nil"/>
              <w:left w:val="single" w:color="auto" w:sz="4" w:space="0"/>
              <w:bottom w:val="single" w:color="auto" w:sz="4" w:space="0"/>
              <w:right w:val="single" w:color="auto" w:sz="4" w:space="0"/>
            </w:tcBorders>
            <w:shd w:val="clear" w:color="auto" w:fill="auto"/>
            <w:noWrap/>
            <w:vAlign w:val="center"/>
          </w:tcPr>
          <w:p w14:paraId="1E3B4B38">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w:t>
            </w:r>
          </w:p>
        </w:tc>
        <w:tc>
          <w:tcPr>
            <w:tcW w:w="1316" w:type="dxa"/>
            <w:tcBorders>
              <w:top w:val="nil"/>
              <w:left w:val="nil"/>
              <w:bottom w:val="single" w:color="auto" w:sz="4" w:space="0"/>
              <w:right w:val="single" w:color="auto" w:sz="4" w:space="0"/>
            </w:tcBorders>
            <w:shd w:val="clear" w:color="auto" w:fill="auto"/>
            <w:vAlign w:val="center"/>
          </w:tcPr>
          <w:p w14:paraId="63C16B59">
            <w:pPr>
              <w:widowControl/>
              <w:spacing w:line="240" w:lineRule="auto"/>
              <w:jc w:val="left"/>
              <w:rPr>
                <w:rFonts w:hint="eastAsia" w:ascii="宋体" w:hAnsi="宋体" w:eastAsia="宋体" w:cs="宋体"/>
                <w:color w:val="000000"/>
                <w:kern w:val="0"/>
                <w:sz w:val="21"/>
                <w:szCs w:val="21"/>
                <w:highlight w:val="none"/>
                <w:lang w:eastAsia="zh-CN"/>
              </w:rPr>
            </w:pPr>
            <w:r>
              <w:rPr>
                <w:rFonts w:hint="eastAsia" w:ascii="宋体" w:hAnsi="宋体" w:eastAsia="宋体" w:cs="宋体"/>
                <w:color w:val="000000"/>
                <w:kern w:val="0"/>
                <w:sz w:val="21"/>
                <w:szCs w:val="21"/>
                <w:highlight w:val="none"/>
                <w:lang w:val="en-US" w:eastAsia="zh-CN"/>
              </w:rPr>
              <w:t>培训</w:t>
            </w:r>
            <w:r>
              <w:rPr>
                <w:rFonts w:hint="eastAsia" w:ascii="宋体" w:hAnsi="宋体" w:eastAsia="宋体" w:cs="宋体"/>
                <w:color w:val="000000"/>
                <w:kern w:val="0"/>
                <w:sz w:val="21"/>
                <w:szCs w:val="21"/>
                <w:highlight w:val="none"/>
              </w:rPr>
              <w:t>会场</w:t>
            </w:r>
          </w:p>
        </w:tc>
        <w:tc>
          <w:tcPr>
            <w:tcW w:w="3609" w:type="dxa"/>
            <w:tcBorders>
              <w:top w:val="nil"/>
              <w:left w:val="nil"/>
              <w:bottom w:val="single" w:color="auto" w:sz="4" w:space="0"/>
              <w:right w:val="single" w:color="auto" w:sz="4" w:space="0"/>
            </w:tcBorders>
            <w:shd w:val="clear" w:color="auto" w:fill="auto"/>
            <w:vAlign w:val="center"/>
          </w:tcPr>
          <w:p w14:paraId="73E73694">
            <w:pPr>
              <w:widowControl/>
              <w:spacing w:line="240" w:lineRule="auto"/>
              <w:jc w:val="left"/>
              <w:rPr>
                <w:rFonts w:hint="eastAsia" w:ascii="宋体" w:hAnsi="宋体" w:eastAsia="宋体" w:cs="宋体"/>
                <w:color w:val="000000"/>
                <w:kern w:val="0"/>
                <w:sz w:val="21"/>
                <w:szCs w:val="21"/>
                <w:highlight w:val="none"/>
                <w:lang w:val="en-US" w:eastAsia="zh-CN"/>
              </w:rPr>
            </w:pPr>
            <w:r>
              <w:rPr>
                <w:rFonts w:hint="eastAsia" w:ascii="宋体" w:hAnsi="宋体" w:eastAsia="宋体" w:cs="宋体"/>
                <w:color w:val="000000"/>
                <w:kern w:val="0"/>
                <w:sz w:val="21"/>
                <w:szCs w:val="21"/>
                <w:highlight w:val="none"/>
                <w:lang w:val="en-US" w:eastAsia="zh-CN"/>
              </w:rPr>
              <w:t>含大屏幕，采用“岛屿式”布局时可容纳40人，采用“课桌式”布局时可容纳80人。需要有两间供同时使用；</w:t>
            </w:r>
          </w:p>
          <w:p w14:paraId="0E402487">
            <w:pPr>
              <w:widowControl/>
              <w:spacing w:line="240" w:lineRule="auto"/>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会场报价均包含晚上使用费。</w:t>
            </w:r>
          </w:p>
        </w:tc>
        <w:tc>
          <w:tcPr>
            <w:tcW w:w="1113" w:type="dxa"/>
            <w:tcBorders>
              <w:top w:val="nil"/>
              <w:left w:val="nil"/>
              <w:bottom w:val="single" w:color="auto" w:sz="4" w:space="0"/>
              <w:right w:val="single" w:color="auto" w:sz="4" w:space="0"/>
            </w:tcBorders>
            <w:shd w:val="clear" w:color="auto" w:fill="auto"/>
            <w:noWrap/>
            <w:vAlign w:val="center"/>
          </w:tcPr>
          <w:p w14:paraId="438BD543">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元/天</w:t>
            </w:r>
          </w:p>
        </w:tc>
        <w:tc>
          <w:tcPr>
            <w:tcW w:w="726" w:type="dxa"/>
            <w:tcBorders>
              <w:top w:val="nil"/>
              <w:left w:val="nil"/>
              <w:bottom w:val="single" w:color="auto" w:sz="4" w:space="0"/>
              <w:right w:val="single" w:color="auto" w:sz="4" w:space="0"/>
            </w:tcBorders>
            <w:shd w:val="clear" w:color="auto" w:fill="auto"/>
            <w:noWrap/>
            <w:vAlign w:val="center"/>
          </w:tcPr>
          <w:p w14:paraId="6681313F">
            <w:pPr>
              <w:keepNext w:val="0"/>
              <w:keepLines w:val="0"/>
              <w:widowControl/>
              <w:suppressLineNumbers w:val="0"/>
              <w:spacing w:line="240" w:lineRule="auto"/>
              <w:jc w:val="center"/>
              <w:textAlignment w:val="center"/>
              <w:rPr>
                <w:rFonts w:hint="default" w:ascii="宋体" w:hAnsi="宋体" w:eastAsia="宋体" w:cs="宋体"/>
                <w:color w:val="000000"/>
                <w:kern w:val="0"/>
                <w:sz w:val="21"/>
                <w:szCs w:val="21"/>
                <w:highlight w:val="none"/>
                <w:lang w:val="en-US" w:eastAsia="zh-CN"/>
              </w:rPr>
            </w:pPr>
          </w:p>
        </w:tc>
        <w:tc>
          <w:tcPr>
            <w:tcW w:w="726" w:type="dxa"/>
            <w:tcBorders>
              <w:top w:val="nil"/>
              <w:left w:val="nil"/>
              <w:bottom w:val="single" w:color="auto" w:sz="4" w:space="0"/>
              <w:right w:val="single" w:color="auto" w:sz="4" w:space="0"/>
            </w:tcBorders>
            <w:shd w:val="clear" w:color="auto" w:fill="auto"/>
            <w:noWrap/>
            <w:vAlign w:val="center"/>
          </w:tcPr>
          <w:p w14:paraId="1404E407">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14</w:t>
            </w:r>
          </w:p>
        </w:tc>
        <w:tc>
          <w:tcPr>
            <w:tcW w:w="683" w:type="dxa"/>
            <w:tcBorders>
              <w:top w:val="nil"/>
              <w:left w:val="nil"/>
              <w:bottom w:val="single" w:color="auto" w:sz="4" w:space="0"/>
              <w:right w:val="single" w:color="auto" w:sz="4" w:space="0"/>
            </w:tcBorders>
            <w:shd w:val="clear" w:color="auto" w:fill="auto"/>
            <w:noWrap/>
            <w:vAlign w:val="center"/>
          </w:tcPr>
          <w:p w14:paraId="054B29CA">
            <w:pPr>
              <w:widowControl/>
              <w:spacing w:line="240" w:lineRule="auto"/>
              <w:jc w:val="center"/>
              <w:rPr>
                <w:rFonts w:hint="eastAsia" w:ascii="宋体" w:hAnsi="宋体" w:eastAsia="宋体" w:cs="宋体"/>
                <w:color w:val="000000"/>
                <w:kern w:val="0"/>
                <w:sz w:val="21"/>
                <w:szCs w:val="21"/>
                <w:highlight w:val="none"/>
                <w:lang w:eastAsia="zh-CN"/>
              </w:rPr>
            </w:pPr>
            <w:r>
              <w:rPr>
                <w:rFonts w:hint="eastAsia" w:ascii="宋体" w:hAnsi="宋体" w:cs="宋体"/>
                <w:color w:val="000000"/>
                <w:kern w:val="0"/>
                <w:sz w:val="21"/>
                <w:szCs w:val="21"/>
                <w:highlight w:val="none"/>
                <w:lang w:val="en-US" w:eastAsia="zh-CN"/>
              </w:rPr>
              <w:t>1</w:t>
            </w:r>
          </w:p>
        </w:tc>
        <w:tc>
          <w:tcPr>
            <w:tcW w:w="683" w:type="dxa"/>
            <w:tcBorders>
              <w:top w:val="nil"/>
              <w:left w:val="nil"/>
              <w:bottom w:val="single" w:color="auto" w:sz="4" w:space="0"/>
              <w:right w:val="single" w:color="auto" w:sz="4" w:space="0"/>
            </w:tcBorders>
            <w:shd w:val="clear" w:color="auto" w:fill="auto"/>
            <w:noWrap/>
            <w:vAlign w:val="center"/>
          </w:tcPr>
          <w:p w14:paraId="79B007E7">
            <w:pPr>
              <w:widowControl/>
              <w:spacing w:line="240" w:lineRule="auto"/>
              <w:jc w:val="center"/>
              <w:rPr>
                <w:rFonts w:hint="eastAsia" w:ascii="宋体" w:hAnsi="宋体" w:cs="宋体"/>
                <w:color w:val="000000"/>
                <w:kern w:val="0"/>
                <w:sz w:val="21"/>
                <w:szCs w:val="21"/>
                <w:highlight w:val="none"/>
                <w:lang w:val="en-US" w:eastAsia="zh-CN"/>
              </w:rPr>
            </w:pPr>
          </w:p>
        </w:tc>
      </w:tr>
      <w:tr w14:paraId="307DCE1D">
        <w:tblPrEx>
          <w:tblCellMar>
            <w:top w:w="0" w:type="dxa"/>
            <w:left w:w="108" w:type="dxa"/>
            <w:bottom w:w="0" w:type="dxa"/>
            <w:right w:w="108" w:type="dxa"/>
          </w:tblCellMar>
        </w:tblPrEx>
        <w:trPr>
          <w:trHeight w:val="737" w:hRule="atLeast"/>
          <w:jc w:val="center"/>
        </w:trPr>
        <w:tc>
          <w:tcPr>
            <w:tcW w:w="850" w:type="dxa"/>
            <w:tcBorders>
              <w:top w:val="nil"/>
              <w:left w:val="single" w:color="auto" w:sz="4" w:space="0"/>
              <w:bottom w:val="single" w:color="auto" w:sz="4" w:space="0"/>
              <w:right w:val="single" w:color="auto" w:sz="4" w:space="0"/>
            </w:tcBorders>
            <w:shd w:val="clear" w:color="auto" w:fill="auto"/>
            <w:noWrap/>
            <w:vAlign w:val="center"/>
          </w:tcPr>
          <w:p w14:paraId="34BDBF3D">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rPr>
              <w:t>2</w:t>
            </w:r>
          </w:p>
        </w:tc>
        <w:tc>
          <w:tcPr>
            <w:tcW w:w="1316" w:type="dxa"/>
            <w:tcBorders>
              <w:top w:val="nil"/>
              <w:left w:val="nil"/>
              <w:bottom w:val="single" w:color="auto" w:sz="4" w:space="0"/>
              <w:right w:val="single" w:color="auto" w:sz="4" w:space="0"/>
            </w:tcBorders>
            <w:shd w:val="clear" w:color="auto" w:fill="auto"/>
            <w:noWrap/>
            <w:vAlign w:val="center"/>
          </w:tcPr>
          <w:p w14:paraId="6E5E4A4B">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标</w:t>
            </w:r>
            <w:r>
              <w:rPr>
                <w:rFonts w:hint="eastAsia" w:ascii="宋体" w:hAnsi="宋体" w:eastAsia="宋体" w:cs="宋体"/>
                <w:color w:val="000000"/>
                <w:kern w:val="0"/>
                <w:sz w:val="21"/>
                <w:szCs w:val="21"/>
                <w:highlight w:val="none"/>
              </w:rPr>
              <w:t>间</w:t>
            </w:r>
          </w:p>
        </w:tc>
        <w:tc>
          <w:tcPr>
            <w:tcW w:w="3609" w:type="dxa"/>
            <w:tcBorders>
              <w:top w:val="nil"/>
              <w:left w:val="nil"/>
              <w:bottom w:val="single" w:color="auto" w:sz="4" w:space="0"/>
              <w:right w:val="single" w:color="auto" w:sz="4" w:space="0"/>
            </w:tcBorders>
            <w:shd w:val="clear" w:color="auto" w:fill="auto"/>
            <w:noWrap/>
            <w:vAlign w:val="center"/>
          </w:tcPr>
          <w:p w14:paraId="0B60C6CC">
            <w:pPr>
              <w:widowControl/>
              <w:spacing w:line="240" w:lineRule="auto"/>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标</w:t>
            </w:r>
            <w:r>
              <w:rPr>
                <w:rFonts w:hint="eastAsia" w:ascii="宋体" w:hAnsi="宋体" w:eastAsia="宋体" w:cs="宋体"/>
                <w:color w:val="000000"/>
                <w:kern w:val="0"/>
                <w:sz w:val="21"/>
                <w:szCs w:val="21"/>
                <w:highlight w:val="none"/>
              </w:rPr>
              <w:t>间（含双早）</w:t>
            </w:r>
          </w:p>
        </w:tc>
        <w:tc>
          <w:tcPr>
            <w:tcW w:w="1113" w:type="dxa"/>
            <w:tcBorders>
              <w:top w:val="nil"/>
              <w:left w:val="nil"/>
              <w:bottom w:val="single" w:color="auto" w:sz="4" w:space="0"/>
              <w:right w:val="single" w:color="auto" w:sz="4" w:space="0"/>
            </w:tcBorders>
            <w:shd w:val="clear" w:color="auto" w:fill="auto"/>
            <w:noWrap/>
            <w:vAlign w:val="center"/>
          </w:tcPr>
          <w:p w14:paraId="457D1308">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元/天</w:t>
            </w:r>
          </w:p>
        </w:tc>
        <w:tc>
          <w:tcPr>
            <w:tcW w:w="726" w:type="dxa"/>
            <w:tcBorders>
              <w:top w:val="nil"/>
              <w:left w:val="nil"/>
              <w:bottom w:val="single" w:color="auto" w:sz="4" w:space="0"/>
              <w:right w:val="single" w:color="auto" w:sz="4" w:space="0"/>
            </w:tcBorders>
            <w:shd w:val="clear" w:color="auto" w:fill="auto"/>
            <w:noWrap/>
            <w:vAlign w:val="center"/>
          </w:tcPr>
          <w:p w14:paraId="6A5000C8">
            <w:pPr>
              <w:keepNext w:val="0"/>
              <w:keepLines w:val="0"/>
              <w:widowControl/>
              <w:suppressLineNumbers w:val="0"/>
              <w:spacing w:line="240" w:lineRule="auto"/>
              <w:jc w:val="center"/>
              <w:textAlignment w:val="center"/>
              <w:rPr>
                <w:rFonts w:hint="default" w:ascii="宋体" w:hAnsi="宋体" w:eastAsia="宋体" w:cs="宋体"/>
                <w:color w:val="000000"/>
                <w:kern w:val="0"/>
                <w:sz w:val="21"/>
                <w:szCs w:val="21"/>
                <w:highlight w:val="none"/>
                <w:lang w:val="en-US" w:eastAsia="zh-CN"/>
              </w:rPr>
            </w:pPr>
          </w:p>
        </w:tc>
        <w:tc>
          <w:tcPr>
            <w:tcW w:w="726" w:type="dxa"/>
            <w:tcBorders>
              <w:top w:val="nil"/>
              <w:left w:val="nil"/>
              <w:bottom w:val="single" w:color="auto" w:sz="4" w:space="0"/>
              <w:right w:val="single" w:color="auto" w:sz="4" w:space="0"/>
            </w:tcBorders>
            <w:shd w:val="clear" w:color="auto" w:fill="auto"/>
            <w:noWrap/>
            <w:vAlign w:val="center"/>
          </w:tcPr>
          <w:p w14:paraId="00251D65">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294</w:t>
            </w:r>
          </w:p>
        </w:tc>
        <w:tc>
          <w:tcPr>
            <w:tcW w:w="683" w:type="dxa"/>
            <w:tcBorders>
              <w:top w:val="nil"/>
              <w:left w:val="nil"/>
              <w:bottom w:val="single" w:color="auto" w:sz="4" w:space="0"/>
              <w:right w:val="single" w:color="auto" w:sz="4" w:space="0"/>
            </w:tcBorders>
            <w:shd w:val="clear" w:color="auto" w:fill="auto"/>
            <w:noWrap/>
            <w:vAlign w:val="center"/>
          </w:tcPr>
          <w:p w14:paraId="1A3AE18F">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nil"/>
              <w:left w:val="nil"/>
              <w:bottom w:val="single" w:color="auto" w:sz="4" w:space="0"/>
              <w:right w:val="single" w:color="auto" w:sz="4" w:space="0"/>
            </w:tcBorders>
            <w:shd w:val="clear" w:color="auto" w:fill="auto"/>
            <w:noWrap/>
            <w:vAlign w:val="center"/>
          </w:tcPr>
          <w:p w14:paraId="08162BCD">
            <w:pPr>
              <w:widowControl/>
              <w:spacing w:line="240" w:lineRule="auto"/>
              <w:jc w:val="center"/>
              <w:rPr>
                <w:rFonts w:hint="eastAsia" w:ascii="宋体" w:hAnsi="宋体" w:cs="宋体"/>
                <w:color w:val="000000"/>
                <w:kern w:val="0"/>
                <w:sz w:val="21"/>
                <w:szCs w:val="21"/>
                <w:highlight w:val="none"/>
                <w:lang w:val="en-US" w:eastAsia="zh-CN"/>
              </w:rPr>
            </w:pPr>
          </w:p>
        </w:tc>
      </w:tr>
      <w:tr w14:paraId="16A367E7">
        <w:tblPrEx>
          <w:tblCellMar>
            <w:top w:w="0" w:type="dxa"/>
            <w:left w:w="108" w:type="dxa"/>
            <w:bottom w:w="0" w:type="dxa"/>
            <w:right w:w="108" w:type="dxa"/>
          </w:tblCellMar>
        </w:tblPrEx>
        <w:trPr>
          <w:trHeight w:val="737" w:hRule="atLeast"/>
          <w:jc w:val="center"/>
        </w:trPr>
        <w:tc>
          <w:tcPr>
            <w:tcW w:w="850" w:type="dxa"/>
            <w:tcBorders>
              <w:top w:val="nil"/>
              <w:left w:val="single" w:color="auto" w:sz="4" w:space="0"/>
              <w:bottom w:val="single" w:color="auto" w:sz="4" w:space="0"/>
              <w:right w:val="single" w:color="auto" w:sz="4" w:space="0"/>
            </w:tcBorders>
            <w:shd w:val="clear" w:color="auto" w:fill="auto"/>
            <w:noWrap/>
            <w:vAlign w:val="center"/>
          </w:tcPr>
          <w:p w14:paraId="60B45A9F">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rPr>
              <w:t>3</w:t>
            </w:r>
          </w:p>
        </w:tc>
        <w:tc>
          <w:tcPr>
            <w:tcW w:w="1316" w:type="dxa"/>
            <w:tcBorders>
              <w:top w:val="nil"/>
              <w:left w:val="nil"/>
              <w:bottom w:val="single" w:color="auto" w:sz="4" w:space="0"/>
              <w:right w:val="single" w:color="auto" w:sz="4" w:space="0"/>
            </w:tcBorders>
            <w:shd w:val="clear" w:color="auto" w:fill="auto"/>
            <w:noWrap/>
            <w:vAlign w:val="center"/>
          </w:tcPr>
          <w:p w14:paraId="020580A6">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餐标</w:t>
            </w:r>
          </w:p>
        </w:tc>
        <w:tc>
          <w:tcPr>
            <w:tcW w:w="3609" w:type="dxa"/>
            <w:tcBorders>
              <w:top w:val="nil"/>
              <w:left w:val="nil"/>
              <w:bottom w:val="single" w:color="auto" w:sz="4" w:space="0"/>
              <w:right w:val="single" w:color="auto" w:sz="4" w:space="0"/>
            </w:tcBorders>
            <w:shd w:val="clear" w:color="auto" w:fill="auto"/>
            <w:noWrap/>
            <w:vAlign w:val="center"/>
          </w:tcPr>
          <w:p w14:paraId="28250F96">
            <w:pPr>
              <w:widowControl/>
              <w:spacing w:line="240" w:lineRule="auto"/>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自助餐（午</w:t>
            </w:r>
            <w:r>
              <w:rPr>
                <w:rFonts w:hint="eastAsia" w:ascii="宋体" w:hAnsi="宋体" w:cs="宋体"/>
                <w:color w:val="000000"/>
                <w:kern w:val="0"/>
                <w:sz w:val="21"/>
                <w:szCs w:val="21"/>
                <w:highlight w:val="none"/>
                <w:lang w:val="en-US" w:eastAsia="zh-CN"/>
              </w:rPr>
              <w:t>餐+</w:t>
            </w:r>
            <w:r>
              <w:rPr>
                <w:rFonts w:hint="eastAsia" w:ascii="宋体" w:hAnsi="宋体" w:eastAsia="宋体" w:cs="宋体"/>
                <w:color w:val="000000"/>
                <w:kern w:val="0"/>
                <w:sz w:val="21"/>
                <w:szCs w:val="21"/>
                <w:highlight w:val="none"/>
              </w:rPr>
              <w:t>晚餐）</w:t>
            </w:r>
          </w:p>
        </w:tc>
        <w:tc>
          <w:tcPr>
            <w:tcW w:w="1113" w:type="dxa"/>
            <w:tcBorders>
              <w:top w:val="nil"/>
              <w:left w:val="nil"/>
              <w:bottom w:val="single" w:color="auto" w:sz="4" w:space="0"/>
              <w:right w:val="single" w:color="auto" w:sz="4" w:space="0"/>
            </w:tcBorders>
            <w:shd w:val="clear" w:color="auto" w:fill="auto"/>
            <w:noWrap/>
            <w:vAlign w:val="center"/>
          </w:tcPr>
          <w:p w14:paraId="455CAA08">
            <w:pPr>
              <w:widowControl/>
              <w:spacing w:line="240" w:lineRule="auto"/>
              <w:jc w:val="center"/>
              <w:rPr>
                <w:rFonts w:hint="default" w:ascii="宋体" w:hAnsi="宋体" w:eastAsia="宋体" w:cs="宋体"/>
                <w:color w:val="000000"/>
                <w:kern w:val="0"/>
                <w:sz w:val="21"/>
                <w:szCs w:val="21"/>
                <w:highlight w:val="none"/>
                <w:lang w:val="en-US"/>
              </w:rPr>
            </w:pPr>
            <w:r>
              <w:rPr>
                <w:rFonts w:hint="eastAsia" w:ascii="宋体" w:hAnsi="宋体" w:eastAsia="宋体" w:cs="宋体"/>
                <w:color w:val="000000"/>
                <w:kern w:val="0"/>
                <w:sz w:val="21"/>
                <w:szCs w:val="21"/>
                <w:highlight w:val="none"/>
              </w:rPr>
              <w:t>元/</w:t>
            </w:r>
            <w:r>
              <w:rPr>
                <w:rFonts w:hint="eastAsia" w:ascii="宋体" w:hAnsi="宋体" w:eastAsia="宋体" w:cs="宋体"/>
                <w:color w:val="000000"/>
                <w:kern w:val="0"/>
                <w:sz w:val="21"/>
                <w:szCs w:val="21"/>
                <w:highlight w:val="none"/>
                <w:lang w:val="en-US" w:eastAsia="zh-CN"/>
              </w:rPr>
              <w:t>人·</w:t>
            </w:r>
            <w:r>
              <w:rPr>
                <w:rFonts w:hint="eastAsia" w:ascii="宋体" w:hAnsi="宋体" w:cs="宋体"/>
                <w:color w:val="000000"/>
                <w:kern w:val="0"/>
                <w:sz w:val="21"/>
                <w:szCs w:val="21"/>
                <w:highlight w:val="none"/>
                <w:lang w:val="en-US" w:eastAsia="zh-CN"/>
              </w:rPr>
              <w:t>天</w:t>
            </w:r>
          </w:p>
        </w:tc>
        <w:tc>
          <w:tcPr>
            <w:tcW w:w="726" w:type="dxa"/>
            <w:tcBorders>
              <w:top w:val="nil"/>
              <w:left w:val="nil"/>
              <w:bottom w:val="single" w:color="auto" w:sz="4" w:space="0"/>
              <w:right w:val="single" w:color="auto" w:sz="4" w:space="0"/>
            </w:tcBorders>
            <w:shd w:val="clear" w:color="auto" w:fill="auto"/>
            <w:noWrap/>
            <w:vAlign w:val="center"/>
          </w:tcPr>
          <w:p w14:paraId="0EF3CB74">
            <w:pPr>
              <w:keepNext w:val="0"/>
              <w:keepLines w:val="0"/>
              <w:widowControl/>
              <w:suppressLineNumbers w:val="0"/>
              <w:spacing w:line="240" w:lineRule="auto"/>
              <w:jc w:val="center"/>
              <w:textAlignment w:val="center"/>
              <w:rPr>
                <w:rFonts w:hint="default" w:ascii="宋体" w:hAnsi="宋体" w:eastAsia="宋体" w:cs="宋体"/>
                <w:color w:val="000000"/>
                <w:kern w:val="0"/>
                <w:sz w:val="21"/>
                <w:szCs w:val="21"/>
                <w:highlight w:val="none"/>
                <w:lang w:val="en-US" w:eastAsia="zh-CN"/>
              </w:rPr>
            </w:pPr>
          </w:p>
        </w:tc>
        <w:tc>
          <w:tcPr>
            <w:tcW w:w="726" w:type="dxa"/>
            <w:tcBorders>
              <w:top w:val="nil"/>
              <w:left w:val="nil"/>
              <w:bottom w:val="single" w:color="auto" w:sz="4" w:space="0"/>
              <w:right w:val="single" w:color="auto" w:sz="4" w:space="0"/>
            </w:tcBorders>
            <w:shd w:val="clear" w:color="auto" w:fill="auto"/>
            <w:noWrap/>
            <w:vAlign w:val="center"/>
          </w:tcPr>
          <w:p w14:paraId="1C08964F">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588</w:t>
            </w:r>
          </w:p>
        </w:tc>
        <w:tc>
          <w:tcPr>
            <w:tcW w:w="683" w:type="dxa"/>
            <w:tcBorders>
              <w:top w:val="nil"/>
              <w:left w:val="nil"/>
              <w:bottom w:val="single" w:color="auto" w:sz="4" w:space="0"/>
              <w:right w:val="single" w:color="auto" w:sz="4" w:space="0"/>
            </w:tcBorders>
            <w:shd w:val="clear" w:color="auto" w:fill="auto"/>
            <w:noWrap/>
            <w:vAlign w:val="center"/>
          </w:tcPr>
          <w:p w14:paraId="39D0CCC0">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nil"/>
              <w:left w:val="nil"/>
              <w:bottom w:val="single" w:color="auto" w:sz="4" w:space="0"/>
              <w:right w:val="single" w:color="auto" w:sz="4" w:space="0"/>
            </w:tcBorders>
            <w:shd w:val="clear" w:color="auto" w:fill="auto"/>
            <w:noWrap/>
            <w:vAlign w:val="center"/>
          </w:tcPr>
          <w:p w14:paraId="6B8F7743">
            <w:pPr>
              <w:widowControl/>
              <w:spacing w:line="240" w:lineRule="auto"/>
              <w:jc w:val="center"/>
              <w:rPr>
                <w:rFonts w:hint="eastAsia" w:ascii="宋体" w:hAnsi="宋体" w:cs="宋体"/>
                <w:color w:val="000000"/>
                <w:kern w:val="0"/>
                <w:sz w:val="21"/>
                <w:szCs w:val="21"/>
                <w:highlight w:val="none"/>
                <w:lang w:val="en-US" w:eastAsia="zh-CN"/>
              </w:rPr>
            </w:pPr>
          </w:p>
        </w:tc>
      </w:tr>
      <w:tr w14:paraId="61094AAF">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CEA99DB">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rPr>
              <w:t>4</w:t>
            </w:r>
          </w:p>
        </w:tc>
        <w:tc>
          <w:tcPr>
            <w:tcW w:w="13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1D5647">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展板</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1383B4F7">
            <w:pPr>
              <w:widowControl/>
              <w:spacing w:line="240" w:lineRule="auto"/>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120*120背胶哑膜覆冷板加小银边</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2CA8CD">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元/个</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5493B8">
            <w:pPr>
              <w:keepNext w:val="0"/>
              <w:keepLines w:val="0"/>
              <w:widowControl/>
              <w:suppressLineNumbers w:val="0"/>
              <w:spacing w:line="240" w:lineRule="auto"/>
              <w:jc w:val="center"/>
              <w:textAlignment w:val="center"/>
              <w:rPr>
                <w:rFonts w:hint="default" w:ascii="宋体" w:hAnsi="宋体" w:eastAsia="宋体" w:cs="宋体"/>
                <w:color w:val="000000"/>
                <w:kern w:val="0"/>
                <w:sz w:val="21"/>
                <w:szCs w:val="21"/>
                <w:highlight w:val="none"/>
                <w:lang w:val="en-US" w:eastAsia="zh-CN"/>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67ECBF3">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6</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B3CC1E">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7B14E12">
            <w:pPr>
              <w:widowControl/>
              <w:spacing w:line="240" w:lineRule="auto"/>
              <w:jc w:val="center"/>
              <w:rPr>
                <w:rFonts w:hint="eastAsia" w:ascii="宋体" w:hAnsi="宋体" w:cs="宋体"/>
                <w:color w:val="000000"/>
                <w:kern w:val="0"/>
                <w:sz w:val="21"/>
                <w:szCs w:val="21"/>
                <w:highlight w:val="none"/>
                <w:lang w:val="en-US" w:eastAsia="zh-CN"/>
              </w:rPr>
            </w:pPr>
          </w:p>
        </w:tc>
      </w:tr>
      <w:tr w14:paraId="61B82672">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3A914D">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rPr>
              <w:t>5</w:t>
            </w:r>
          </w:p>
        </w:tc>
        <w:tc>
          <w:tcPr>
            <w:tcW w:w="13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E50C77">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证件卡</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7E1C14BB">
            <w:pPr>
              <w:widowControl/>
              <w:spacing w:line="240" w:lineRule="auto"/>
              <w:jc w:val="left"/>
              <w:rPr>
                <w:rFonts w:hint="eastAsia" w:ascii="宋体" w:hAnsi="宋体" w:eastAsia="宋体" w:cs="宋体"/>
                <w:color w:val="000000"/>
                <w:kern w:val="0"/>
                <w:sz w:val="21"/>
                <w:szCs w:val="21"/>
                <w:highlight w:val="none"/>
                <w:lang w:eastAsia="zh-CN"/>
              </w:rPr>
            </w:pPr>
            <w:r>
              <w:rPr>
                <w:rFonts w:hint="eastAsia" w:ascii="宋体" w:hAnsi="宋体" w:eastAsia="宋体" w:cs="宋体"/>
                <w:color w:val="000000"/>
                <w:kern w:val="0"/>
                <w:sz w:val="21"/>
                <w:szCs w:val="21"/>
                <w:highlight w:val="none"/>
              </w:rPr>
              <w:t>12*8亮光pvc卡顶部打扣</w:t>
            </w:r>
            <w:r>
              <w:rPr>
                <w:rFonts w:hint="eastAsia" w:ascii="宋体" w:hAnsi="宋体" w:eastAsia="宋体" w:cs="宋体"/>
                <w:color w:val="000000"/>
                <w:kern w:val="0"/>
                <w:sz w:val="21"/>
                <w:szCs w:val="21"/>
                <w:highlight w:val="none"/>
                <w:lang w:eastAsia="zh-CN"/>
              </w:rPr>
              <w:t>（</w:t>
            </w:r>
            <w:r>
              <w:rPr>
                <w:rFonts w:hint="eastAsia" w:ascii="宋体" w:hAnsi="宋体" w:eastAsia="宋体" w:cs="宋体"/>
                <w:color w:val="000000"/>
                <w:kern w:val="0"/>
                <w:sz w:val="21"/>
                <w:szCs w:val="21"/>
                <w:highlight w:val="none"/>
                <w:lang w:val="en-US" w:eastAsia="zh-CN"/>
              </w:rPr>
              <w:t>含挂绳</w:t>
            </w:r>
            <w:r>
              <w:rPr>
                <w:rFonts w:hint="eastAsia" w:ascii="宋体" w:hAnsi="宋体" w:eastAsia="宋体" w:cs="宋体"/>
                <w:color w:val="000000"/>
                <w:kern w:val="0"/>
                <w:sz w:val="21"/>
                <w:szCs w:val="21"/>
                <w:highlight w:val="none"/>
                <w:lang w:eastAsia="zh-CN"/>
              </w:rPr>
              <w:t>）</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EEE3FA">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元/个</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ACCCFA">
            <w:pPr>
              <w:keepNext w:val="0"/>
              <w:keepLines w:val="0"/>
              <w:widowControl/>
              <w:suppressLineNumbers w:val="0"/>
              <w:spacing w:line="240" w:lineRule="auto"/>
              <w:jc w:val="center"/>
              <w:textAlignment w:val="center"/>
              <w:rPr>
                <w:rFonts w:hint="default" w:ascii="宋体" w:hAnsi="宋体" w:eastAsia="宋体" w:cs="宋体"/>
                <w:color w:val="000000"/>
                <w:kern w:val="0"/>
                <w:sz w:val="21"/>
                <w:szCs w:val="21"/>
                <w:highlight w:val="none"/>
                <w:lang w:val="en-US" w:eastAsia="zh-CN"/>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27BB8A4">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6</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4086E2">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425A0E">
            <w:pPr>
              <w:widowControl/>
              <w:spacing w:line="240" w:lineRule="auto"/>
              <w:jc w:val="center"/>
              <w:rPr>
                <w:rFonts w:hint="eastAsia" w:ascii="宋体" w:hAnsi="宋体" w:cs="宋体"/>
                <w:color w:val="000000"/>
                <w:kern w:val="0"/>
                <w:sz w:val="21"/>
                <w:szCs w:val="21"/>
                <w:highlight w:val="none"/>
                <w:lang w:val="en-US" w:eastAsia="zh-CN"/>
              </w:rPr>
            </w:pPr>
          </w:p>
        </w:tc>
      </w:tr>
      <w:tr w14:paraId="38E4E0AE">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5D892E">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rPr>
              <w:t>6</w:t>
            </w:r>
          </w:p>
        </w:tc>
        <w:tc>
          <w:tcPr>
            <w:tcW w:w="1316" w:type="dxa"/>
            <w:tcBorders>
              <w:top w:val="single" w:color="auto" w:sz="4" w:space="0"/>
              <w:left w:val="single" w:color="auto" w:sz="4" w:space="0"/>
              <w:bottom w:val="single" w:color="auto" w:sz="4" w:space="0"/>
              <w:right w:val="single" w:color="auto" w:sz="4" w:space="0"/>
            </w:tcBorders>
            <w:shd w:val="clear" w:color="auto" w:fill="auto"/>
            <w:vAlign w:val="center"/>
          </w:tcPr>
          <w:p w14:paraId="310CFEEF">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条幅</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5A9CDB3C">
            <w:pPr>
              <w:widowControl/>
              <w:spacing w:line="240" w:lineRule="auto"/>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写真布</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E6B7A0">
            <w:pPr>
              <w:widowControl/>
              <w:spacing w:line="240" w:lineRule="auto"/>
              <w:jc w:val="center"/>
              <w:rPr>
                <w:rFonts w:hint="eastAsia" w:ascii="宋体" w:hAnsi="宋体" w:eastAsia="宋体" w:cs="宋体"/>
                <w:color w:val="000000"/>
                <w:kern w:val="0"/>
                <w:sz w:val="21"/>
                <w:szCs w:val="21"/>
                <w:highlight w:val="none"/>
                <w:lang w:eastAsia="zh-CN"/>
              </w:rPr>
            </w:pPr>
            <w:r>
              <w:rPr>
                <w:rFonts w:hint="eastAsia" w:ascii="宋体" w:hAnsi="宋体" w:eastAsia="宋体" w:cs="宋体"/>
                <w:color w:val="000000"/>
                <w:kern w:val="0"/>
                <w:sz w:val="21"/>
                <w:szCs w:val="21"/>
                <w:highlight w:val="none"/>
              </w:rPr>
              <w:t>元/</w:t>
            </w:r>
            <w:r>
              <w:rPr>
                <w:rFonts w:hint="eastAsia" w:ascii="宋体" w:hAnsi="宋体" w:eastAsia="宋体" w:cs="宋体"/>
                <w:color w:val="000000"/>
                <w:kern w:val="0"/>
                <w:sz w:val="21"/>
                <w:szCs w:val="21"/>
                <w:highlight w:val="none"/>
                <w:lang w:val="en-US" w:eastAsia="zh-CN"/>
              </w:rPr>
              <w:t>米</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C1F24EE">
            <w:pPr>
              <w:keepNext w:val="0"/>
              <w:keepLines w:val="0"/>
              <w:widowControl/>
              <w:suppressLineNumbers w:val="0"/>
              <w:spacing w:line="240" w:lineRule="auto"/>
              <w:jc w:val="center"/>
              <w:textAlignment w:val="center"/>
              <w:rPr>
                <w:rFonts w:hint="default" w:ascii="宋体" w:hAnsi="宋体" w:eastAsia="宋体" w:cs="宋体"/>
                <w:color w:val="000000"/>
                <w:kern w:val="0"/>
                <w:sz w:val="21"/>
                <w:szCs w:val="21"/>
                <w:highlight w:val="none"/>
                <w:lang w:val="en-US" w:eastAsia="zh-CN"/>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70BE76">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20</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D893F5">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3F221F">
            <w:pPr>
              <w:widowControl/>
              <w:spacing w:line="240" w:lineRule="auto"/>
              <w:jc w:val="center"/>
              <w:rPr>
                <w:rFonts w:hint="eastAsia" w:ascii="宋体" w:hAnsi="宋体" w:cs="宋体"/>
                <w:color w:val="000000"/>
                <w:kern w:val="0"/>
                <w:sz w:val="21"/>
                <w:szCs w:val="21"/>
                <w:highlight w:val="none"/>
                <w:lang w:val="en-US" w:eastAsia="zh-CN"/>
              </w:rPr>
            </w:pPr>
          </w:p>
        </w:tc>
      </w:tr>
      <w:tr w14:paraId="6E2B4E61">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1EC055">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rPr>
              <w:t>7</w:t>
            </w:r>
          </w:p>
        </w:tc>
        <w:tc>
          <w:tcPr>
            <w:tcW w:w="13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7C53D50">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彩纸</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64CE2E5B">
            <w:pPr>
              <w:widowControl/>
              <w:spacing w:line="240" w:lineRule="auto"/>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A3</w:t>
            </w:r>
            <w:r>
              <w:rPr>
                <w:rFonts w:hint="eastAsia" w:ascii="宋体" w:hAnsi="宋体" w:eastAsia="宋体" w:cs="宋体"/>
                <w:color w:val="000000"/>
                <w:kern w:val="0"/>
                <w:sz w:val="21"/>
                <w:szCs w:val="21"/>
                <w:highlight w:val="none"/>
                <w:lang w:val="en-US" w:eastAsia="zh-CN"/>
              </w:rPr>
              <w:t xml:space="preserve"> </w:t>
            </w:r>
            <w:r>
              <w:rPr>
                <w:rFonts w:hint="eastAsia" w:ascii="宋体" w:hAnsi="宋体" w:eastAsia="宋体" w:cs="宋体"/>
                <w:color w:val="000000"/>
                <w:kern w:val="0"/>
                <w:sz w:val="21"/>
                <w:szCs w:val="21"/>
                <w:highlight w:val="none"/>
              </w:rPr>
              <w:t>80克纸单面彩色(裁成18*14cm 一张A3出4张)</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645854">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元/个</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9D5AB7">
            <w:pPr>
              <w:keepNext w:val="0"/>
              <w:keepLines w:val="0"/>
              <w:widowControl/>
              <w:suppressLineNumbers w:val="0"/>
              <w:spacing w:line="240" w:lineRule="auto"/>
              <w:jc w:val="center"/>
              <w:textAlignment w:val="center"/>
              <w:rPr>
                <w:rFonts w:hint="default" w:ascii="宋体" w:hAnsi="宋体" w:eastAsia="宋体" w:cs="宋体"/>
                <w:color w:val="000000"/>
                <w:kern w:val="0"/>
                <w:sz w:val="21"/>
                <w:szCs w:val="21"/>
                <w:highlight w:val="none"/>
                <w:lang w:val="en-US"/>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8EA4472">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24</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7AE1444">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71BF96">
            <w:pPr>
              <w:widowControl/>
              <w:spacing w:line="240" w:lineRule="auto"/>
              <w:jc w:val="center"/>
              <w:rPr>
                <w:rFonts w:hint="eastAsia" w:ascii="宋体" w:hAnsi="宋体" w:cs="宋体"/>
                <w:color w:val="000000"/>
                <w:kern w:val="0"/>
                <w:sz w:val="21"/>
                <w:szCs w:val="21"/>
                <w:highlight w:val="none"/>
                <w:lang w:val="en-US" w:eastAsia="zh-CN"/>
              </w:rPr>
            </w:pPr>
          </w:p>
        </w:tc>
      </w:tr>
      <w:tr w14:paraId="265748BE">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E281E0A">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rPr>
              <w:t>8</w:t>
            </w:r>
          </w:p>
        </w:tc>
        <w:tc>
          <w:tcPr>
            <w:tcW w:w="13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15471D">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学员资料包-手提袋</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6F56096F">
            <w:pPr>
              <w:widowControl/>
              <w:spacing w:line="240" w:lineRule="auto"/>
              <w:jc w:val="left"/>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蓝色，38*30cm，布制</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150F5BA">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eastAsia="zh-CN"/>
              </w:rPr>
            </w:pPr>
            <w:r>
              <w:rPr>
                <w:rFonts w:hint="eastAsia" w:ascii="宋体" w:hAnsi="宋体" w:eastAsia="宋体" w:cs="宋体"/>
                <w:i w:val="0"/>
                <w:iCs w:val="0"/>
                <w:color w:val="000000"/>
                <w:kern w:val="0"/>
                <w:sz w:val="21"/>
                <w:szCs w:val="21"/>
                <w:u w:val="none"/>
                <w:lang w:val="en-US" w:eastAsia="zh-CN" w:bidi="ar"/>
              </w:rPr>
              <w:t>元/个</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9EF7EFE">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eastAsia="zh-CN"/>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DB170D2">
            <w:pPr>
              <w:keepNext w:val="0"/>
              <w:keepLines w:val="0"/>
              <w:widowControl/>
              <w:suppressLineNumbers w:val="0"/>
              <w:spacing w:line="240" w:lineRule="auto"/>
              <w:jc w:val="center"/>
              <w:textAlignment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i w:val="0"/>
                <w:iCs w:val="0"/>
                <w:color w:val="000000"/>
                <w:kern w:val="0"/>
                <w:sz w:val="21"/>
                <w:szCs w:val="21"/>
                <w:u w:val="none"/>
                <w:lang w:val="en-US" w:eastAsia="zh-CN" w:bidi="ar"/>
              </w:rPr>
              <w:t>85</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3E7A660">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C567DA">
            <w:pPr>
              <w:widowControl/>
              <w:spacing w:line="240" w:lineRule="auto"/>
              <w:jc w:val="center"/>
              <w:rPr>
                <w:rFonts w:hint="eastAsia" w:ascii="宋体" w:hAnsi="宋体" w:cs="宋体"/>
                <w:color w:val="000000"/>
                <w:kern w:val="0"/>
                <w:sz w:val="21"/>
                <w:szCs w:val="21"/>
                <w:highlight w:val="none"/>
                <w:lang w:val="en-US" w:eastAsia="zh-CN"/>
              </w:rPr>
            </w:pPr>
          </w:p>
        </w:tc>
      </w:tr>
      <w:tr w14:paraId="67B64D7E">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653AFDB">
            <w:pPr>
              <w:widowControl/>
              <w:spacing w:line="240" w:lineRule="auto"/>
              <w:jc w:val="center"/>
              <w:rPr>
                <w:rFonts w:hint="default"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9</w:t>
            </w:r>
          </w:p>
        </w:tc>
        <w:tc>
          <w:tcPr>
            <w:tcW w:w="13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BF9208">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学员资料包-笔记本</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748C109E">
            <w:pPr>
              <w:keepNext w:val="0"/>
              <w:keepLines w:val="0"/>
              <w:widowControl/>
              <w:suppressLineNumbers w:val="0"/>
              <w:spacing w:line="240" w:lineRule="auto"/>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牛皮纸封面，80页/本，252*279mm</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971C61">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元/本</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227B57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17B03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85</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9EDEFCE">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B11866">
            <w:pPr>
              <w:widowControl/>
              <w:spacing w:line="240" w:lineRule="auto"/>
              <w:jc w:val="center"/>
              <w:rPr>
                <w:rFonts w:hint="eastAsia" w:ascii="宋体" w:hAnsi="宋体" w:cs="宋体"/>
                <w:color w:val="000000"/>
                <w:kern w:val="0"/>
                <w:sz w:val="21"/>
                <w:szCs w:val="21"/>
                <w:highlight w:val="none"/>
                <w:lang w:val="en-US" w:eastAsia="zh-CN"/>
              </w:rPr>
            </w:pPr>
          </w:p>
        </w:tc>
      </w:tr>
      <w:tr w14:paraId="5337634F">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2A4A9A">
            <w:pPr>
              <w:widowControl/>
              <w:spacing w:line="240" w:lineRule="auto"/>
              <w:jc w:val="center"/>
              <w:rPr>
                <w:rFonts w:hint="default"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10</w:t>
            </w:r>
          </w:p>
        </w:tc>
        <w:tc>
          <w:tcPr>
            <w:tcW w:w="13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27B104">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学员资料包-中性笔</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2B1C13FF">
            <w:pPr>
              <w:keepNext w:val="0"/>
              <w:keepLines w:val="0"/>
              <w:widowControl/>
              <w:suppressLineNumbers w:val="0"/>
              <w:spacing w:line="240" w:lineRule="auto"/>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白雪牌走珠笔，黑色细支</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7B64F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元/支</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39054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9D462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85</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F5DACF1">
            <w:pPr>
              <w:widowControl/>
              <w:spacing w:line="240" w:lineRule="auto"/>
              <w:jc w:val="center"/>
              <w:rPr>
                <w:rFonts w:hint="eastAsia"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59599D">
            <w:pPr>
              <w:widowControl/>
              <w:spacing w:line="240" w:lineRule="auto"/>
              <w:jc w:val="center"/>
              <w:rPr>
                <w:rFonts w:hint="eastAsia" w:ascii="宋体" w:hAnsi="宋体" w:cs="宋体"/>
                <w:color w:val="000000"/>
                <w:kern w:val="0"/>
                <w:sz w:val="21"/>
                <w:szCs w:val="21"/>
                <w:highlight w:val="none"/>
                <w:lang w:val="en-US" w:eastAsia="zh-CN"/>
              </w:rPr>
            </w:pPr>
          </w:p>
        </w:tc>
      </w:tr>
      <w:tr w14:paraId="65FC2FFE">
        <w:tblPrEx>
          <w:tblCellMar>
            <w:top w:w="0" w:type="dxa"/>
            <w:left w:w="108" w:type="dxa"/>
            <w:bottom w:w="0" w:type="dxa"/>
            <w:right w:w="108" w:type="dxa"/>
          </w:tblCellMar>
        </w:tblPrEx>
        <w:trPr>
          <w:trHeight w:val="737" w:hRule="atLeast"/>
          <w:jc w:val="center"/>
        </w:trPr>
        <w:tc>
          <w:tcPr>
            <w:tcW w:w="8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0BE6AD3">
            <w:pPr>
              <w:widowControl/>
              <w:spacing w:line="240" w:lineRule="auto"/>
              <w:jc w:val="center"/>
              <w:rPr>
                <w:rFonts w:hint="default"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rPr>
              <w:t>11</w:t>
            </w:r>
          </w:p>
        </w:tc>
        <w:tc>
          <w:tcPr>
            <w:tcW w:w="13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8BB075">
            <w:pPr>
              <w:widowControl/>
              <w:spacing w:line="240" w:lineRule="auto"/>
              <w:jc w:val="center"/>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lang w:val="en-US" w:eastAsia="zh-CN"/>
              </w:rPr>
              <w:t>学员资料包-学员手册</w:t>
            </w:r>
          </w:p>
        </w:tc>
        <w:tc>
          <w:tcPr>
            <w:tcW w:w="3609" w:type="dxa"/>
            <w:tcBorders>
              <w:top w:val="single" w:color="auto" w:sz="4" w:space="0"/>
              <w:left w:val="single" w:color="auto" w:sz="4" w:space="0"/>
              <w:bottom w:val="single" w:color="auto" w:sz="4" w:space="0"/>
              <w:right w:val="single" w:color="auto" w:sz="4" w:space="0"/>
            </w:tcBorders>
            <w:shd w:val="clear" w:color="auto" w:fill="auto"/>
            <w:vAlign w:val="center"/>
          </w:tcPr>
          <w:p w14:paraId="6A55B50C">
            <w:pPr>
              <w:keepNext w:val="0"/>
              <w:keepLines w:val="0"/>
              <w:widowControl/>
              <w:suppressLineNumbers w:val="0"/>
              <w:spacing w:line="240" w:lineRule="auto"/>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A4铜版纸 16页</w:t>
            </w:r>
          </w:p>
        </w:tc>
        <w:tc>
          <w:tcPr>
            <w:tcW w:w="111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7D3DD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元/本</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7C1BB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BDF3D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85</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DE47997">
            <w:pPr>
              <w:widowControl/>
              <w:spacing w:line="240" w:lineRule="auto"/>
              <w:jc w:val="center"/>
              <w:rPr>
                <w:rFonts w:hint="default" w:ascii="宋体" w:hAnsi="宋体" w:eastAsia="宋体" w:cs="宋体"/>
                <w:color w:val="000000"/>
                <w:kern w:val="0"/>
                <w:sz w:val="21"/>
                <w:szCs w:val="21"/>
                <w:highlight w:val="none"/>
                <w:lang w:val="en-US" w:eastAsia="zh-CN"/>
              </w:rPr>
            </w:pPr>
            <w:r>
              <w:rPr>
                <w:rFonts w:hint="eastAsia" w:ascii="宋体" w:hAnsi="宋体" w:cs="宋体"/>
                <w:color w:val="000000"/>
                <w:kern w:val="0"/>
                <w:sz w:val="21"/>
                <w:szCs w:val="21"/>
                <w:highlight w:val="none"/>
                <w:lang w:val="en-US" w:eastAsia="zh-CN"/>
              </w:rPr>
              <w:t>1</w:t>
            </w:r>
          </w:p>
        </w:tc>
        <w:tc>
          <w:tcPr>
            <w:tcW w:w="6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9AA8BD0">
            <w:pPr>
              <w:widowControl/>
              <w:spacing w:line="240" w:lineRule="auto"/>
              <w:jc w:val="center"/>
              <w:rPr>
                <w:rFonts w:hint="eastAsia" w:ascii="宋体" w:hAnsi="宋体" w:cs="宋体"/>
                <w:color w:val="000000"/>
                <w:kern w:val="0"/>
                <w:sz w:val="21"/>
                <w:szCs w:val="21"/>
                <w:highlight w:val="none"/>
                <w:lang w:val="en-US" w:eastAsia="zh-CN"/>
              </w:rPr>
            </w:pPr>
          </w:p>
        </w:tc>
      </w:tr>
    </w:tbl>
    <w:p w14:paraId="5E4DD083">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ascii="黑体" w:hAnsi="黑体" w:eastAsia="黑体"/>
          <w:b/>
          <w:bCs/>
          <w:highlight w:val="none"/>
        </w:rPr>
      </w:pPr>
      <w:r>
        <w:rPr>
          <w:rFonts w:hint="eastAsia" w:ascii="黑体" w:hAnsi="黑体" w:eastAsia="黑体" w:cstheme="minorBidi"/>
          <w:b/>
          <w:bCs/>
          <w:szCs w:val="22"/>
          <w:highlight w:val="none"/>
        </w:rPr>
        <w:t>三、技术要求</w:t>
      </w:r>
    </w:p>
    <w:p w14:paraId="1DB1403C">
      <w:pPr>
        <w:spacing w:line="360" w:lineRule="auto"/>
        <w:ind w:firstLine="422" w:firstLineChars="200"/>
        <w:rPr>
          <w:rFonts w:hint="eastAsia" w:ascii="宋体" w:hAnsi="宋体" w:cs="宋体"/>
          <w:szCs w:val="21"/>
          <w:highlight w:val="none"/>
        </w:rPr>
      </w:pPr>
      <w:bookmarkStart w:id="20" w:name="_Toc15177"/>
      <w:r>
        <w:rPr>
          <w:rFonts w:hint="eastAsia" w:ascii="宋体" w:hAnsi="宋体" w:cs="宋体"/>
          <w:b/>
          <w:bCs/>
          <w:szCs w:val="21"/>
          <w:highlight w:val="none"/>
          <w:lang w:val="en-US" w:eastAsia="zh-CN"/>
        </w:rPr>
        <w:t>1.</w:t>
      </w:r>
      <w:r>
        <w:rPr>
          <w:rFonts w:hint="eastAsia" w:ascii="宋体" w:hAnsi="宋体" w:cs="宋体"/>
          <w:b/>
          <w:bCs/>
          <w:szCs w:val="21"/>
          <w:highlight w:val="none"/>
        </w:rPr>
        <w:t>工作保障</w:t>
      </w:r>
      <w:r>
        <w:rPr>
          <w:rFonts w:hint="eastAsia" w:ascii="宋体" w:hAnsi="宋体" w:cs="宋体"/>
          <w:szCs w:val="21"/>
          <w:highlight w:val="none"/>
        </w:rPr>
        <w:t xml:space="preserve">                                    </w:t>
      </w:r>
    </w:p>
    <w:p w14:paraId="33FA00EF">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投标方指定2名经验丰富的工作人员负责与中国重汽集团沟通和联络，每期培训应根据中国重汽集团的要求，做好会场布置、设备调试等各项准备工作。</w:t>
      </w:r>
    </w:p>
    <w:p w14:paraId="1902A113">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lang w:val="en-US" w:eastAsia="zh-CN"/>
        </w:rPr>
        <w:t>2.</w:t>
      </w:r>
      <w:r>
        <w:rPr>
          <w:rFonts w:hint="eastAsia" w:ascii="宋体" w:hAnsi="宋体" w:cs="宋体"/>
          <w:b/>
          <w:bCs/>
          <w:szCs w:val="21"/>
          <w:highlight w:val="none"/>
        </w:rPr>
        <w:t>授课场地</w:t>
      </w:r>
    </w:p>
    <w:p w14:paraId="748D1C58">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（1）容量与布局：场地需容纳</w:t>
      </w:r>
      <w:r>
        <w:rPr>
          <w:rFonts w:hint="eastAsia" w:ascii="宋体" w:hAnsi="宋体" w:cs="宋体"/>
          <w:szCs w:val="21"/>
          <w:highlight w:val="none"/>
          <w:lang w:val="en-US" w:eastAsia="zh-CN"/>
        </w:rPr>
        <w:t>80</w:t>
      </w:r>
      <w:r>
        <w:rPr>
          <w:rFonts w:hint="eastAsia" w:ascii="宋体" w:hAnsi="宋体" w:cs="宋体"/>
          <w:szCs w:val="21"/>
          <w:highlight w:val="none"/>
        </w:rPr>
        <w:t>人</w:t>
      </w:r>
      <w:r>
        <w:rPr>
          <w:rFonts w:hint="eastAsia" w:ascii="宋体" w:hAnsi="宋体" w:cs="宋体"/>
          <w:szCs w:val="21"/>
          <w:highlight w:val="none"/>
          <w:lang w:val="en-US" w:eastAsia="zh-CN"/>
        </w:rPr>
        <w:t>以上</w:t>
      </w:r>
      <w:r>
        <w:rPr>
          <w:rFonts w:hint="eastAsia" w:ascii="宋体" w:hAnsi="宋体" w:cs="宋体"/>
          <w:szCs w:val="21"/>
          <w:highlight w:val="none"/>
        </w:rPr>
        <w:t>，配备足够座位，空间设计利于大范围教学及</w:t>
      </w:r>
      <w:r>
        <w:rPr>
          <w:rFonts w:hint="eastAsia" w:ascii="宋体" w:hAnsi="宋体" w:cs="宋体"/>
          <w:szCs w:val="21"/>
          <w:highlight w:val="none"/>
          <w:lang w:eastAsia="zh-CN"/>
        </w:rPr>
        <w:t>“</w:t>
      </w:r>
      <w:r>
        <w:rPr>
          <w:rFonts w:hint="eastAsia" w:ascii="宋体" w:hAnsi="宋体" w:cs="宋体"/>
          <w:szCs w:val="21"/>
          <w:highlight w:val="none"/>
          <w:lang w:val="en-US" w:eastAsia="zh-CN"/>
        </w:rPr>
        <w:t>岛屿式</w:t>
      </w:r>
      <w:r>
        <w:rPr>
          <w:rFonts w:hint="eastAsia" w:ascii="宋体" w:hAnsi="宋体" w:cs="宋体"/>
          <w:szCs w:val="21"/>
          <w:highlight w:val="none"/>
          <w:lang w:eastAsia="zh-CN"/>
        </w:rPr>
        <w:t>”</w:t>
      </w:r>
      <w:r>
        <w:rPr>
          <w:rFonts w:hint="eastAsia" w:ascii="宋体" w:hAnsi="宋体" w:cs="宋体"/>
          <w:szCs w:val="21"/>
          <w:highlight w:val="none"/>
        </w:rPr>
        <w:t>小组讨论。</w:t>
      </w:r>
    </w:p>
    <w:p w14:paraId="648546F7">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（2）技术设施：配备现代化教学设备，如音响、投影、LED屏、WIFI和会议系统，确保培训材料展示清晰。</w:t>
      </w:r>
    </w:p>
    <w:p w14:paraId="68005A41">
      <w:pPr>
        <w:pStyle w:val="2"/>
        <w:spacing w:after="0" w:line="360" w:lineRule="auto"/>
        <w:ind w:left="0"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（3）安全保障：符合消防规范，设有应急通道，提供基础医疗急救条件，保障</w:t>
      </w:r>
      <w:r>
        <w:rPr>
          <w:rFonts w:hint="eastAsia" w:ascii="宋体" w:hAnsi="宋体" w:eastAsia="宋体" w:cs="宋体"/>
          <w:sz w:val="21"/>
          <w:szCs w:val="21"/>
          <w:highlight w:val="none"/>
          <w:lang w:val="en-US" w:eastAsia="zh-CN"/>
        </w:rPr>
        <w:t>学员</w:t>
      </w:r>
      <w:r>
        <w:rPr>
          <w:rFonts w:hint="eastAsia" w:ascii="宋体" w:hAnsi="宋体" w:eastAsia="宋体" w:cs="宋体"/>
          <w:sz w:val="21"/>
          <w:szCs w:val="21"/>
          <w:highlight w:val="none"/>
          <w:lang w:eastAsia="zh-CN"/>
        </w:rPr>
        <w:t>安全。</w:t>
      </w:r>
    </w:p>
    <w:p w14:paraId="7093585C">
      <w:pPr>
        <w:pStyle w:val="2"/>
        <w:spacing w:after="0" w:line="360" w:lineRule="auto"/>
        <w:ind w:left="0"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eastAsia="zh-CN"/>
        </w:rPr>
        <w:t>（4）交通便利：选址交通方便，易于到达，建议提供停车指南。</w:t>
      </w:r>
    </w:p>
    <w:p w14:paraId="5FB1BF13">
      <w:pPr>
        <w:pStyle w:val="2"/>
        <w:spacing w:after="0" w:line="360" w:lineRule="auto"/>
        <w:ind w:left="0" w:firstLine="420" w:firstLineChars="200"/>
        <w:rPr>
          <w:sz w:val="21"/>
          <w:szCs w:val="21"/>
          <w:highlight w:val="none"/>
          <w:lang w:eastAsia="zh-CN"/>
        </w:rPr>
      </w:pPr>
      <w:r>
        <w:rPr>
          <w:rFonts w:hint="eastAsia" w:ascii="宋体" w:hAnsi="宋体" w:eastAsia="宋体" w:cs="宋体"/>
          <w:sz w:val="21"/>
          <w:szCs w:val="21"/>
          <w:highlight w:val="none"/>
          <w:lang w:eastAsia="zh-CN"/>
        </w:rPr>
        <w:t>（5）后勤保障：</w:t>
      </w:r>
      <w:r>
        <w:rPr>
          <w:rFonts w:hint="eastAsia"/>
          <w:sz w:val="21"/>
          <w:szCs w:val="21"/>
          <w:highlight w:val="none"/>
          <w:lang w:eastAsia="zh-CN"/>
        </w:rPr>
        <w:t>专业团队负责清洁及技术支持，确保活动流畅。</w:t>
      </w:r>
    </w:p>
    <w:p w14:paraId="174E720C">
      <w:pPr>
        <w:pStyle w:val="2"/>
        <w:spacing w:after="0" w:line="360" w:lineRule="auto"/>
        <w:ind w:left="0" w:firstLine="422" w:firstLineChars="20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3.住宿</w:t>
      </w:r>
    </w:p>
    <w:p w14:paraId="785E9AF3">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1</w:t>
      </w:r>
      <w:r>
        <w:rPr>
          <w:rFonts w:hint="eastAsia" w:ascii="宋体" w:hAnsi="宋体" w:cs="宋体"/>
          <w:szCs w:val="21"/>
          <w:highlight w:val="none"/>
          <w:lang w:eastAsia="zh-CN"/>
        </w:rPr>
        <w:t>）</w:t>
      </w:r>
      <w:r>
        <w:rPr>
          <w:rFonts w:hint="eastAsia" w:ascii="宋体" w:hAnsi="宋体" w:cs="宋体"/>
          <w:szCs w:val="21"/>
          <w:highlight w:val="none"/>
        </w:rPr>
        <w:t>房型与配置： 提供充足标准双床间（约</w:t>
      </w:r>
      <w:r>
        <w:rPr>
          <w:rFonts w:hint="eastAsia" w:ascii="宋体" w:hAnsi="宋体" w:cs="宋体"/>
          <w:szCs w:val="21"/>
          <w:highlight w:val="none"/>
          <w:lang w:val="en-US" w:eastAsia="zh-CN"/>
        </w:rPr>
        <w:t>45</w:t>
      </w:r>
      <w:r>
        <w:rPr>
          <w:rFonts w:hint="eastAsia" w:ascii="宋体" w:hAnsi="宋体" w:cs="宋体"/>
          <w:szCs w:val="21"/>
          <w:highlight w:val="none"/>
        </w:rPr>
        <w:t>间），配备两张单人床、独立卫浴及基础家具。</w:t>
      </w:r>
    </w:p>
    <w:p w14:paraId="02683EA2">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2</w:t>
      </w:r>
      <w:r>
        <w:rPr>
          <w:rFonts w:hint="eastAsia" w:ascii="宋体" w:hAnsi="宋体" w:cs="宋体"/>
          <w:szCs w:val="21"/>
          <w:highlight w:val="none"/>
          <w:lang w:eastAsia="zh-CN"/>
        </w:rPr>
        <w:t>）</w:t>
      </w:r>
      <w:r>
        <w:rPr>
          <w:rFonts w:hint="eastAsia" w:ascii="宋体" w:hAnsi="宋体" w:cs="宋体"/>
          <w:szCs w:val="21"/>
          <w:highlight w:val="none"/>
        </w:rPr>
        <w:t>基本设施： 保障空调、照明、24小时热水、免费高速WIFI正常运行。</w:t>
      </w:r>
    </w:p>
    <w:p w14:paraId="64286CEF">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3</w:t>
      </w:r>
      <w:r>
        <w:rPr>
          <w:rFonts w:hint="eastAsia" w:ascii="宋体" w:hAnsi="宋体" w:cs="宋体"/>
          <w:szCs w:val="21"/>
          <w:highlight w:val="none"/>
          <w:lang w:eastAsia="zh-CN"/>
        </w:rPr>
        <w:t>）</w:t>
      </w:r>
      <w:r>
        <w:rPr>
          <w:rFonts w:hint="eastAsia" w:ascii="宋体" w:hAnsi="宋体" w:cs="宋体"/>
          <w:szCs w:val="21"/>
          <w:highlight w:val="none"/>
        </w:rPr>
        <w:t>安全与卫生： 符合消防规范，房门安全，提供每日清洁及必要洗漱用品。</w:t>
      </w:r>
    </w:p>
    <w:p w14:paraId="4E9F214E">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4</w:t>
      </w:r>
      <w:r>
        <w:rPr>
          <w:rFonts w:hint="eastAsia" w:ascii="宋体" w:hAnsi="宋体" w:cs="宋体"/>
          <w:szCs w:val="21"/>
          <w:highlight w:val="none"/>
          <w:lang w:eastAsia="zh-CN"/>
        </w:rPr>
        <w:t>）</w:t>
      </w:r>
      <w:r>
        <w:rPr>
          <w:rFonts w:hint="eastAsia" w:ascii="宋体" w:hAnsi="宋体" w:cs="宋体"/>
          <w:szCs w:val="21"/>
          <w:highlight w:val="none"/>
        </w:rPr>
        <w:t>位置便利： 邻近授课场地，步行可达。</w:t>
      </w:r>
    </w:p>
    <w:p w14:paraId="0D3B5EF5">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5</w:t>
      </w:r>
      <w:r>
        <w:rPr>
          <w:rFonts w:hint="eastAsia" w:ascii="宋体" w:hAnsi="宋体" w:cs="宋体"/>
          <w:szCs w:val="21"/>
          <w:highlight w:val="none"/>
          <w:lang w:eastAsia="zh-CN"/>
        </w:rPr>
        <w:t>）</w:t>
      </w:r>
      <w:r>
        <w:rPr>
          <w:rFonts w:hint="eastAsia" w:ascii="宋体" w:hAnsi="宋体" w:cs="宋体"/>
          <w:szCs w:val="21"/>
          <w:highlight w:val="none"/>
        </w:rPr>
        <w:t>服务保障： 设有前台服务，并能及时响应设施报修。</w:t>
      </w:r>
    </w:p>
    <w:p w14:paraId="45D41BBD">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lang w:val="en-US" w:eastAsia="zh-CN"/>
        </w:rPr>
        <w:t>4.</w:t>
      </w:r>
      <w:r>
        <w:rPr>
          <w:rFonts w:hint="eastAsia" w:ascii="宋体" w:hAnsi="宋体" w:cs="宋体"/>
          <w:b/>
          <w:bCs/>
          <w:szCs w:val="21"/>
          <w:highlight w:val="none"/>
        </w:rPr>
        <w:t>用餐</w:t>
      </w:r>
    </w:p>
    <w:p w14:paraId="7538EDA3">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1</w:t>
      </w:r>
      <w:r>
        <w:rPr>
          <w:rFonts w:hint="eastAsia" w:ascii="宋体" w:hAnsi="宋体" w:cs="宋体"/>
          <w:szCs w:val="21"/>
          <w:highlight w:val="none"/>
          <w:lang w:eastAsia="zh-CN"/>
        </w:rPr>
        <w:t>）</w:t>
      </w:r>
      <w:r>
        <w:rPr>
          <w:rFonts w:hint="eastAsia" w:ascii="宋体" w:hAnsi="宋体" w:cs="宋体"/>
          <w:szCs w:val="21"/>
          <w:highlight w:val="none"/>
        </w:rPr>
        <w:t>用餐形式：按照</w:t>
      </w:r>
      <w:r>
        <w:rPr>
          <w:rFonts w:hint="eastAsia" w:ascii="宋体" w:hAnsi="宋体" w:cs="宋体"/>
          <w:szCs w:val="21"/>
          <w:highlight w:val="none"/>
          <w:lang w:val="en-US" w:eastAsia="zh-CN"/>
        </w:rPr>
        <w:t>规定的</w:t>
      </w:r>
      <w:r>
        <w:rPr>
          <w:rFonts w:hint="eastAsia" w:ascii="宋体" w:hAnsi="宋体" w:cs="宋体"/>
          <w:szCs w:val="21"/>
          <w:highlight w:val="none"/>
        </w:rPr>
        <w:t>标准供餐，并考虑清真菜品，提前规划并提供菜谱。</w:t>
      </w:r>
    </w:p>
    <w:p w14:paraId="24017290">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2</w:t>
      </w:r>
      <w:r>
        <w:rPr>
          <w:rFonts w:hint="eastAsia" w:ascii="宋体" w:hAnsi="宋体" w:cs="宋体"/>
          <w:szCs w:val="21"/>
          <w:highlight w:val="none"/>
          <w:lang w:eastAsia="zh-CN"/>
        </w:rPr>
        <w:t>）</w:t>
      </w:r>
      <w:r>
        <w:rPr>
          <w:rFonts w:hint="eastAsia" w:ascii="宋体" w:hAnsi="宋体" w:cs="宋体"/>
          <w:szCs w:val="21"/>
          <w:highlight w:val="none"/>
        </w:rPr>
        <w:t>餐品要求：</w:t>
      </w:r>
      <w:r>
        <w:rPr>
          <w:rFonts w:hint="eastAsia" w:ascii="宋体" w:hAnsi="宋体" w:cs="宋体"/>
          <w:szCs w:val="21"/>
          <w:highlight w:val="none"/>
          <w:lang w:val="en-US" w:eastAsia="zh-CN"/>
        </w:rPr>
        <w:t>提供价值相当的自主餐品，</w:t>
      </w:r>
      <w:r>
        <w:rPr>
          <w:rFonts w:hint="eastAsia" w:ascii="宋体" w:hAnsi="宋体" w:cs="宋体"/>
          <w:szCs w:val="21"/>
          <w:highlight w:val="none"/>
        </w:rPr>
        <w:t>荤素</w:t>
      </w:r>
      <w:r>
        <w:rPr>
          <w:rFonts w:hint="eastAsia" w:ascii="宋体" w:hAnsi="宋体" w:cs="宋体"/>
          <w:szCs w:val="21"/>
          <w:highlight w:val="none"/>
          <w:lang w:val="en-US" w:eastAsia="zh-CN"/>
        </w:rPr>
        <w:t>搭配</w:t>
      </w:r>
      <w:r>
        <w:rPr>
          <w:rFonts w:hint="eastAsia" w:ascii="宋体" w:hAnsi="宋体" w:cs="宋体"/>
          <w:szCs w:val="21"/>
          <w:highlight w:val="none"/>
          <w:lang w:eastAsia="zh-CN"/>
        </w:rPr>
        <w:t>，</w:t>
      </w:r>
      <w:r>
        <w:rPr>
          <w:rFonts w:hint="eastAsia" w:ascii="宋体" w:hAnsi="宋体" w:cs="宋体"/>
          <w:szCs w:val="21"/>
          <w:highlight w:val="none"/>
          <w:lang w:val="en-US" w:eastAsia="zh-CN"/>
        </w:rPr>
        <w:t>包含</w:t>
      </w:r>
      <w:r>
        <w:rPr>
          <w:rFonts w:hint="eastAsia" w:ascii="宋体" w:hAnsi="宋体" w:cs="宋体"/>
          <w:szCs w:val="21"/>
          <w:highlight w:val="none"/>
        </w:rPr>
        <w:t>汤品和水果，确保营养均衡。</w:t>
      </w:r>
    </w:p>
    <w:p w14:paraId="6694CAF6">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3</w:t>
      </w:r>
      <w:r>
        <w:rPr>
          <w:rFonts w:hint="eastAsia" w:ascii="宋体" w:hAnsi="宋体" w:cs="宋体"/>
          <w:szCs w:val="21"/>
          <w:highlight w:val="none"/>
          <w:lang w:eastAsia="zh-CN"/>
        </w:rPr>
        <w:t>）</w:t>
      </w:r>
      <w:r>
        <w:rPr>
          <w:rFonts w:hint="eastAsia" w:ascii="宋体" w:hAnsi="宋体" w:cs="宋体"/>
          <w:szCs w:val="21"/>
          <w:highlight w:val="none"/>
        </w:rPr>
        <w:t>食品安全：需持有效许可，确保符合国家卫生标准，餐具必须消毒。</w:t>
      </w:r>
    </w:p>
    <w:p w14:paraId="753B3899">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4</w:t>
      </w:r>
      <w:r>
        <w:rPr>
          <w:rFonts w:hint="eastAsia" w:ascii="宋体" w:hAnsi="宋体" w:cs="宋体"/>
          <w:szCs w:val="21"/>
          <w:highlight w:val="none"/>
          <w:lang w:eastAsia="zh-CN"/>
        </w:rPr>
        <w:t>）</w:t>
      </w:r>
      <w:r>
        <w:rPr>
          <w:rFonts w:hint="eastAsia" w:ascii="宋体" w:hAnsi="宋体" w:cs="宋体"/>
          <w:szCs w:val="21"/>
          <w:highlight w:val="none"/>
        </w:rPr>
        <w:t>场地与保障：确保用餐区宽敞、通风，合理布局，配备足够桌椅和餐具，现场人员需维护秩序并保持环境整洁。</w:t>
      </w:r>
    </w:p>
    <w:p w14:paraId="7BF741BC">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w:t>
      </w:r>
      <w:r>
        <w:rPr>
          <w:rFonts w:hint="eastAsia" w:ascii="宋体" w:hAnsi="宋体" w:cs="宋体"/>
          <w:szCs w:val="21"/>
          <w:highlight w:val="none"/>
          <w:lang w:val="en-US" w:eastAsia="zh-CN"/>
        </w:rPr>
        <w:t>5</w:t>
      </w:r>
      <w:r>
        <w:rPr>
          <w:rFonts w:hint="eastAsia" w:ascii="宋体" w:hAnsi="宋体" w:cs="宋体"/>
          <w:szCs w:val="21"/>
          <w:highlight w:val="none"/>
          <w:lang w:eastAsia="zh-CN"/>
        </w:rPr>
        <w:t>）</w:t>
      </w:r>
      <w:r>
        <w:rPr>
          <w:rFonts w:hint="eastAsia" w:ascii="宋体" w:hAnsi="宋体" w:cs="宋体"/>
          <w:szCs w:val="21"/>
          <w:highlight w:val="none"/>
        </w:rPr>
        <w:t>时间安排：用餐时段应无缝衔接培训日程，控制在1小时内完成，确保学员有充分休息。</w:t>
      </w:r>
    </w:p>
    <w:p w14:paraId="7C35696C">
      <w:pPr>
        <w:pStyle w:val="2"/>
        <w:spacing w:after="0" w:line="360" w:lineRule="auto"/>
        <w:ind w:left="0" w:firstLine="422" w:firstLineChars="200"/>
        <w:rPr>
          <w:rFonts w:hint="eastAsia" w:ascii="宋体" w:hAnsi="宋体" w:eastAsia="宋体" w:cs="宋体"/>
          <w:b/>
          <w:bCs/>
          <w:sz w:val="21"/>
          <w:szCs w:val="21"/>
          <w:highlight w:val="none"/>
          <w:lang w:eastAsia="zh-CN"/>
        </w:rPr>
      </w:pPr>
      <w:r>
        <w:rPr>
          <w:rFonts w:hint="eastAsia" w:ascii="宋体" w:hAnsi="宋体" w:eastAsia="宋体" w:cs="宋体"/>
          <w:b/>
          <w:bCs/>
          <w:sz w:val="21"/>
          <w:szCs w:val="21"/>
          <w:highlight w:val="none"/>
          <w:lang w:val="en-US" w:eastAsia="zh-CN"/>
        </w:rPr>
        <w:t>3.</w:t>
      </w:r>
      <w:r>
        <w:rPr>
          <w:rFonts w:hint="eastAsia" w:ascii="宋体" w:hAnsi="宋体" w:eastAsia="宋体" w:cs="宋体"/>
          <w:b/>
          <w:bCs/>
          <w:sz w:val="21"/>
          <w:szCs w:val="21"/>
          <w:highlight w:val="none"/>
          <w:lang w:eastAsia="zh-CN"/>
        </w:rPr>
        <w:t>物料</w:t>
      </w:r>
    </w:p>
    <w:p w14:paraId="12E2AA5D">
      <w:pPr>
        <w:pStyle w:val="2"/>
        <w:spacing w:after="0" w:line="360" w:lineRule="auto"/>
        <w:ind w:left="0" w:firstLine="420" w:firstLineChars="200"/>
        <w:rPr>
          <w:rFonts w:hint="eastAsia" w:ascii="宋体" w:hAnsi="宋体" w:eastAsia="宋体" w:cs="宋体"/>
          <w:b/>
          <w:sz w:val="21"/>
          <w:szCs w:val="21"/>
          <w:highlight w:val="none"/>
          <w:lang w:eastAsia="zh-CN"/>
        </w:rPr>
      </w:pPr>
      <w:r>
        <w:rPr>
          <w:rFonts w:hint="eastAsia" w:ascii="宋体" w:hAnsi="宋体" w:eastAsia="宋体" w:cs="宋体"/>
          <w:kern w:val="2"/>
          <w:sz w:val="21"/>
          <w:szCs w:val="21"/>
          <w:highlight w:val="none"/>
          <w:lang w:eastAsia="zh-CN"/>
        </w:rPr>
        <w:t>提供展板、横幅、学员包等</w:t>
      </w:r>
      <w:r>
        <w:rPr>
          <w:rFonts w:hint="eastAsia" w:ascii="宋体" w:hAnsi="宋体" w:eastAsia="宋体" w:cs="宋体"/>
          <w:kern w:val="2"/>
          <w:sz w:val="21"/>
          <w:szCs w:val="21"/>
          <w:highlight w:val="none"/>
          <w:lang w:val="en-US" w:eastAsia="zh-CN"/>
        </w:rPr>
        <w:t>物料</w:t>
      </w:r>
      <w:r>
        <w:rPr>
          <w:rFonts w:hint="eastAsia" w:ascii="宋体" w:hAnsi="宋体" w:eastAsia="宋体" w:cs="宋体"/>
          <w:kern w:val="2"/>
          <w:sz w:val="21"/>
          <w:szCs w:val="21"/>
          <w:highlight w:val="none"/>
          <w:lang w:eastAsia="zh-CN"/>
        </w:rPr>
        <w:t>。</w:t>
      </w:r>
      <w:r>
        <w:rPr>
          <w:rFonts w:hint="eastAsia" w:ascii="宋体" w:hAnsi="宋体" w:eastAsia="宋体" w:cs="宋体"/>
          <w:sz w:val="21"/>
          <w:szCs w:val="21"/>
          <w:highlight w:val="none"/>
          <w:lang w:eastAsia="zh-CN"/>
        </w:rPr>
        <w:t>物料具体需求及样式以甲方通知为准。</w:t>
      </w:r>
    </w:p>
    <w:p w14:paraId="014DA1AD">
      <w:pPr>
        <w:spacing w:before="118"/>
        <w:ind w:right="30"/>
        <w:jc w:val="center"/>
        <w:outlineLvl w:val="0"/>
        <w:rPr>
          <w:rFonts w:hint="eastAsia" w:ascii="方正小标宋简体" w:hAnsi="方正小标宋简体" w:eastAsia="方正小标宋简体" w:cs="方正小标宋简体"/>
          <w:sz w:val="40"/>
          <w:szCs w:val="21"/>
          <w:highlight w:val="none"/>
        </w:rPr>
      </w:pPr>
    </w:p>
    <w:p w14:paraId="66BFCCC4">
      <w:pPr>
        <w:pStyle w:val="2"/>
        <w:rPr>
          <w:rFonts w:hint="eastAsia" w:ascii="方正小标宋简体" w:hAnsi="方正小标宋简体" w:eastAsia="方正小标宋简体" w:cs="方正小标宋简体"/>
          <w:sz w:val="40"/>
          <w:szCs w:val="21"/>
          <w:highlight w:val="none"/>
        </w:rPr>
      </w:pPr>
    </w:p>
    <w:p w14:paraId="54C6E561">
      <w:pPr>
        <w:pStyle w:val="2"/>
        <w:rPr>
          <w:rFonts w:hint="eastAsia" w:ascii="方正小标宋简体" w:hAnsi="方正小标宋简体" w:eastAsia="方正小标宋简体" w:cs="方正小标宋简体"/>
          <w:sz w:val="40"/>
          <w:szCs w:val="21"/>
          <w:highlight w:val="none"/>
        </w:rPr>
      </w:pPr>
    </w:p>
    <w:p w14:paraId="7698BD7C">
      <w:pPr>
        <w:pStyle w:val="2"/>
        <w:rPr>
          <w:rFonts w:hint="eastAsia" w:ascii="方正小标宋简体" w:hAnsi="方正小标宋简体" w:eastAsia="方正小标宋简体" w:cs="方正小标宋简体"/>
          <w:sz w:val="40"/>
          <w:szCs w:val="21"/>
          <w:highlight w:val="none"/>
        </w:rPr>
      </w:pPr>
    </w:p>
    <w:p w14:paraId="5E9A423A">
      <w:pPr>
        <w:spacing w:before="118"/>
        <w:ind w:right="30"/>
        <w:jc w:val="center"/>
        <w:outlineLvl w:val="0"/>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bookmarkEnd w:id="20"/>
    </w:p>
    <w:p w14:paraId="1C7C0A45">
      <w:pPr>
        <w:pStyle w:val="7"/>
        <w:spacing w:before="8"/>
        <w:rPr>
          <w:rFonts w:ascii="楷体" w:hAnsi="楷体" w:eastAsia="楷体" w:cs="楷体"/>
          <w:sz w:val="44"/>
          <w:szCs w:val="28"/>
          <w:highlight w:val="none"/>
        </w:rPr>
      </w:pPr>
    </w:p>
    <w:p w14:paraId="59729B46">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141F366A">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乙方：</w:t>
      </w:r>
    </w:p>
    <w:p w14:paraId="3CA9FB85">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hint="eastAsia" w:ascii="楷体" w:hAnsi="楷体" w:eastAsia="楷体" w:cs="楷体"/>
          <w:spacing w:val="-2"/>
          <w:sz w:val="28"/>
          <w:szCs w:val="28"/>
          <w:highlight w:val="none"/>
          <w:lang w:eastAsia="zh-CN"/>
        </w:rPr>
        <w:t>，</w:t>
      </w:r>
      <w:r>
        <w:rPr>
          <w:rFonts w:ascii="楷体" w:hAnsi="楷体" w:eastAsia="楷体" w:cs="楷体"/>
          <w:spacing w:val="-2"/>
          <w:sz w:val="28"/>
          <w:szCs w:val="28"/>
          <w:highlight w:val="none"/>
        </w:rPr>
        <w:t>共同加强廉洁自律建设，甲乙双方在平等、自愿、协商一致的原则下，签订本协议。</w:t>
      </w:r>
    </w:p>
    <w:p w14:paraId="4E9C0BEA">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312E863D">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2.乙方声明并承诺甲方人员或其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和其他特定关系人（甲方人员为领导干部的，其他特定关系人包含身边工作人员）</w:t>
      </w:r>
      <w:r>
        <w:rPr>
          <w:rFonts w:ascii="楷体" w:hAnsi="楷体" w:eastAsia="楷体" w:cs="楷体"/>
          <w:spacing w:val="-2"/>
          <w:sz w:val="28"/>
          <w:szCs w:val="28"/>
          <w:highlight w:val="none"/>
        </w:rPr>
        <w:t>没有直接或间接投资乙方或持有乙方股权，没有直接或间接投资乙方关联企业或持有乙方关联企业股权。</w:t>
      </w:r>
    </w:p>
    <w:p w14:paraId="5405FD98">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3.乙方承诺乙方或乙方关联企业股东、实际出资人或持股人、高管、主要业务人员不得与甲方人员或其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在乙方或乙方关联企业股东或实际出资人或高管或主要业务人员成立的企业中担任高管或为其</w:t>
      </w:r>
      <w:r>
        <w:rPr>
          <w:rFonts w:hint="eastAsia" w:ascii="楷体" w:hAnsi="楷体" w:eastAsia="楷体" w:cs="楷体"/>
          <w:spacing w:val="-2"/>
          <w:sz w:val="28"/>
          <w:szCs w:val="28"/>
          <w:highlight w:val="none"/>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若乙方为甲方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rPr>
        <w:t>合作伙伴</w:t>
      </w:r>
      <w:r>
        <w:rPr>
          <w:rFonts w:ascii="楷体" w:hAnsi="楷体" w:eastAsia="楷体" w:cs="楷体"/>
          <w:spacing w:val="-2"/>
          <w:sz w:val="28"/>
          <w:szCs w:val="28"/>
          <w:highlight w:val="none"/>
        </w:rPr>
        <w:t>，如在本协议签订前乙方存在本条规定情形的，需在本协议签订后30日内，将相关情况报</w:t>
      </w:r>
      <w:r>
        <w:rPr>
          <w:rFonts w:hint="eastAsia" w:ascii="楷体" w:hAnsi="楷体" w:eastAsia="楷体" w:cs="楷体"/>
          <w:spacing w:val="-2"/>
          <w:sz w:val="28"/>
          <w:szCs w:val="28"/>
          <w:highlight w:val="none"/>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rPr>
        <w:t>门</w:t>
      </w:r>
      <w:r>
        <w:rPr>
          <w:rFonts w:ascii="楷体" w:hAnsi="楷体" w:eastAsia="楷体" w:cs="楷体"/>
          <w:spacing w:val="-2"/>
          <w:sz w:val="28"/>
          <w:szCs w:val="28"/>
          <w:highlight w:val="none"/>
        </w:rPr>
        <w:t>备案）。</w:t>
      </w:r>
    </w:p>
    <w:p w14:paraId="5FC2BE80">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4.乙方承诺依法开展经营活动，不得有任何形式的商业贿赂行为。乙方一经发现其员工或其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rPr>
        <w:t>所有合同</w:t>
      </w:r>
      <w:r>
        <w:rPr>
          <w:rFonts w:ascii="楷体" w:hAnsi="楷体" w:eastAsia="楷体" w:cs="楷体"/>
          <w:spacing w:val="-2"/>
          <w:sz w:val="28"/>
          <w:szCs w:val="28"/>
          <w:highlight w:val="none"/>
        </w:rPr>
        <w:t>协议，并要求乙方赔偿。</w:t>
      </w:r>
    </w:p>
    <w:p w14:paraId="5C6F663C">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5.乙方承诺不以任何理由为甲方人员及其</w:t>
      </w:r>
      <w:r>
        <w:rPr>
          <w:rFonts w:hint="eastAsia" w:ascii="楷体" w:hAnsi="楷体" w:eastAsia="楷体" w:cs="楷体"/>
          <w:spacing w:val="-2"/>
          <w:sz w:val="28"/>
          <w:szCs w:val="28"/>
          <w:highlight w:val="none"/>
        </w:rPr>
        <w:t>配偶、子女及其配偶等亲属和其他特定关系人提供如下：</w:t>
      </w:r>
    </w:p>
    <w:p w14:paraId="3A984C4E">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、股权、其他金融产品等财物</w:t>
      </w:r>
      <w:r>
        <w:rPr>
          <w:rFonts w:ascii="楷体" w:hAnsi="楷体" w:eastAsia="楷体" w:cs="楷体"/>
          <w:spacing w:val="-2"/>
          <w:sz w:val="28"/>
          <w:szCs w:val="28"/>
          <w:highlight w:val="none"/>
        </w:rPr>
        <w:t>和其他贵重物品；</w:t>
      </w:r>
    </w:p>
    <w:p w14:paraId="1B2EE0D2">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rPr>
        <w:t>或以讲课费、课题费、咨询费等名义支付费用</w:t>
      </w:r>
      <w:r>
        <w:rPr>
          <w:rFonts w:ascii="楷体" w:hAnsi="楷体" w:eastAsia="楷体" w:cs="楷体"/>
          <w:spacing w:val="-2"/>
          <w:sz w:val="28"/>
          <w:szCs w:val="28"/>
          <w:highlight w:val="none"/>
        </w:rPr>
        <w:t>；</w:t>
      </w:r>
    </w:p>
    <w:p w14:paraId="5D16F878">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、健身、娱乐</w:t>
      </w:r>
      <w:r>
        <w:rPr>
          <w:rFonts w:ascii="楷体" w:hAnsi="楷体" w:eastAsia="楷体" w:cs="楷体"/>
          <w:spacing w:val="-2"/>
          <w:sz w:val="28"/>
          <w:szCs w:val="28"/>
          <w:highlight w:val="none"/>
        </w:rPr>
        <w:t>和进入营业性娱乐场所；</w:t>
      </w:r>
    </w:p>
    <w:p w14:paraId="51C51826">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rPr>
        <w:t>、钱款、住房、车辆等或提供通过民间借贷等金融助其获得大额回报</w:t>
      </w:r>
      <w:r>
        <w:rPr>
          <w:rFonts w:ascii="楷体" w:hAnsi="楷体" w:eastAsia="楷体" w:cs="楷体"/>
          <w:spacing w:val="-2"/>
          <w:sz w:val="28"/>
          <w:szCs w:val="28"/>
          <w:highlight w:val="none"/>
        </w:rPr>
        <w:t>；</w:t>
      </w:r>
    </w:p>
    <w:p w14:paraId="5721DE27">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225F05C6">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f)吸收存款、推销金融产品、经营名贵特产类资源等提供帮助谋取利益；</w:t>
      </w:r>
    </w:p>
    <w:p w14:paraId="037C67F5">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g)其他可能影响甲方人员公平、公正的履行职权或者履行职责的情形</w:t>
      </w:r>
      <w:r>
        <w:rPr>
          <w:rFonts w:ascii="楷体" w:hAnsi="楷体" w:eastAsia="楷体" w:cs="楷体"/>
          <w:spacing w:val="-2"/>
          <w:sz w:val="28"/>
          <w:szCs w:val="28"/>
          <w:highlight w:val="none"/>
        </w:rPr>
        <w:t>。</w:t>
      </w:r>
    </w:p>
    <w:p w14:paraId="09760BF3">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6.乙方应当通过正常途径开展相关业务，决不为谋取不正当利益诱使甲方人员就</w:t>
      </w:r>
      <w:r>
        <w:rPr>
          <w:rFonts w:hint="eastAsia" w:ascii="楷体" w:hAnsi="楷体" w:eastAsia="楷体" w:cs="楷体"/>
          <w:spacing w:val="-2"/>
          <w:sz w:val="28"/>
          <w:szCs w:val="28"/>
          <w:highlight w:val="none"/>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12012AA6">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7.若乙方发现甲方人员或其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有任何形式的索贿受贿行为，乙方有责任向甲方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rPr>
        <w:t>以</w:t>
      </w:r>
      <w:r>
        <w:rPr>
          <w:rFonts w:ascii="楷体" w:hAnsi="楷体" w:eastAsia="楷体" w:cs="楷体"/>
          <w:spacing w:val="-2"/>
          <w:sz w:val="28"/>
          <w:szCs w:val="28"/>
          <w:highlight w:val="none"/>
        </w:rPr>
        <w:t>任何借口对乙方进行报复。对举报属实和严格遵守廉洁协议的乙方，在同等条件下甲方优先考虑与乙方继续合作并给予更优惠的商务合作条件。</w:t>
      </w:r>
    </w:p>
    <w:p w14:paraId="667C895E">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8.若乙方知悉其它与甲方合作的供应商</w:t>
      </w:r>
      <w:r>
        <w:rPr>
          <w:rFonts w:hint="eastAsia" w:ascii="楷体" w:hAnsi="楷体" w:eastAsia="楷体" w:cs="楷体"/>
          <w:spacing w:val="-2"/>
          <w:sz w:val="28"/>
          <w:szCs w:val="28"/>
          <w:highlight w:val="none"/>
        </w:rPr>
        <w:t>、服务商或采购商、经销商等合作伙伴</w:t>
      </w:r>
      <w:r>
        <w:rPr>
          <w:rFonts w:ascii="楷体" w:hAnsi="楷体" w:eastAsia="楷体" w:cs="楷体"/>
          <w:spacing w:val="-2"/>
          <w:sz w:val="28"/>
          <w:szCs w:val="28"/>
          <w:highlight w:val="none"/>
        </w:rPr>
        <w:t>存在违反本协议规定之行为，乙方应向甲方</w:t>
      </w:r>
      <w:r>
        <w:rPr>
          <w:rFonts w:hint="eastAsia" w:ascii="楷体" w:hAnsi="楷体" w:eastAsia="楷体" w:cs="楷体"/>
          <w:spacing w:val="-2"/>
          <w:sz w:val="28"/>
          <w:szCs w:val="28"/>
          <w:highlight w:val="none"/>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纪委监察部门检举并提供证据。</w:t>
      </w:r>
    </w:p>
    <w:p w14:paraId="6AF39430">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9.乙方承诺在双方业务往来期间，不得对甲方人员采取任何手段使其离开甲方到乙方或乙方关联企业任职，若出现上述情况，则属于乙方违约，应承担给甲方造成的一切损失。</w:t>
      </w:r>
    </w:p>
    <w:p w14:paraId="637B3244">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10.乙方承诺不聘任甲方内退领导干部或其他人员在乙方或乙方关联企业工作；乙方承诺不聘任甲方离职或退休三年内的领导干部或其他人员在乙方或乙方关联企业工作。</w:t>
      </w:r>
    </w:p>
    <w:p w14:paraId="44EDEFE9">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64315663">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rPr>
        <w:t>等</w:t>
      </w:r>
      <w:r>
        <w:rPr>
          <w:rFonts w:ascii="楷体" w:hAnsi="楷体" w:eastAsia="楷体" w:cs="楷体"/>
          <w:spacing w:val="-2"/>
          <w:sz w:val="28"/>
          <w:szCs w:val="28"/>
          <w:highlight w:val="none"/>
        </w:rPr>
        <w:t>能够对其实际支配的企业或单位。</w:t>
      </w:r>
    </w:p>
    <w:p w14:paraId="73815995">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2FB8B60D">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682C3D81">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EA58B8B">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14.本协议作为执行</w:t>
      </w:r>
      <w:r>
        <w:rPr>
          <w:rFonts w:hint="eastAsia" w:ascii="楷体" w:hAnsi="楷体" w:eastAsia="楷体" w:cs="楷体"/>
          <w:spacing w:val="-2"/>
          <w:sz w:val="28"/>
          <w:szCs w:val="28"/>
          <w:highlight w:val="none"/>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7201A7F6">
      <w:pPr>
        <w:pStyle w:val="43"/>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7629A178">
      <w:pPr>
        <w:pStyle w:val="7"/>
        <w:spacing w:before="9"/>
        <w:rPr>
          <w:rFonts w:ascii="楷体" w:hAnsi="楷体" w:eastAsia="楷体" w:cs="楷体"/>
          <w:sz w:val="40"/>
          <w:szCs w:val="28"/>
          <w:highlight w:val="none"/>
        </w:rPr>
      </w:pPr>
    </w:p>
    <w:p w14:paraId="147131C2">
      <w:pPr>
        <w:tabs>
          <w:tab w:val="left" w:pos="5457"/>
        </w:tabs>
        <w:spacing w:before="1"/>
        <w:ind w:left="117"/>
        <w:outlineLvl w:val="0"/>
        <w:rPr>
          <w:rFonts w:ascii="楷体" w:hAnsi="楷体" w:eastAsia="楷体" w:cs="楷体"/>
          <w:b/>
          <w:sz w:val="24"/>
          <w:szCs w:val="21"/>
          <w:highlight w:val="none"/>
        </w:rPr>
      </w:pPr>
      <w:bookmarkStart w:id="21" w:name="_Toc3301"/>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rPr>
        <w:t>乙方（盖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bookmarkEnd w:id="21"/>
    </w:p>
    <w:p w14:paraId="37314EC5">
      <w:pPr>
        <w:pStyle w:val="7"/>
        <w:rPr>
          <w:rFonts w:ascii="楷体" w:hAnsi="楷体" w:eastAsia="楷体" w:cs="楷体"/>
          <w:b/>
          <w:sz w:val="24"/>
          <w:szCs w:val="28"/>
          <w:highlight w:val="none"/>
        </w:rPr>
      </w:pPr>
    </w:p>
    <w:p w14:paraId="133B7955">
      <w:pPr>
        <w:pStyle w:val="7"/>
        <w:spacing w:before="1"/>
        <w:rPr>
          <w:rFonts w:ascii="楷体" w:hAnsi="楷体" w:eastAsia="楷体" w:cs="楷体"/>
          <w:b/>
          <w:sz w:val="24"/>
          <w:szCs w:val="28"/>
          <w:highlight w:val="none"/>
        </w:rPr>
      </w:pPr>
    </w:p>
    <w:p w14:paraId="336EDD21">
      <w:pPr>
        <w:tabs>
          <w:tab w:val="left" w:pos="5457"/>
        </w:tabs>
        <w:ind w:left="117"/>
        <w:outlineLvl w:val="0"/>
        <w:rPr>
          <w:rFonts w:ascii="楷体" w:hAnsi="楷体" w:eastAsia="楷体" w:cs="楷体"/>
          <w:b/>
          <w:sz w:val="24"/>
          <w:szCs w:val="21"/>
          <w:highlight w:val="none"/>
        </w:rPr>
      </w:pPr>
      <w:bookmarkStart w:id="22" w:name="_Toc5270"/>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bookmarkEnd w:id="22"/>
    </w:p>
    <w:p w14:paraId="6CE414EF">
      <w:pPr>
        <w:pStyle w:val="7"/>
        <w:rPr>
          <w:rFonts w:ascii="楷体" w:hAnsi="楷体" w:eastAsia="楷体" w:cs="楷体"/>
          <w:b/>
          <w:sz w:val="24"/>
          <w:szCs w:val="28"/>
          <w:highlight w:val="none"/>
        </w:rPr>
      </w:pPr>
    </w:p>
    <w:p w14:paraId="5209B03D">
      <w:pPr>
        <w:pStyle w:val="7"/>
        <w:spacing w:before="4"/>
        <w:rPr>
          <w:rFonts w:ascii="楷体" w:hAnsi="楷体" w:eastAsia="楷体" w:cs="楷体"/>
          <w:b/>
          <w:sz w:val="24"/>
          <w:szCs w:val="28"/>
          <w:highlight w:val="none"/>
        </w:rPr>
      </w:pPr>
    </w:p>
    <w:p w14:paraId="0E8AEB95">
      <w:pPr>
        <w:tabs>
          <w:tab w:val="left" w:pos="5457"/>
        </w:tabs>
        <w:ind w:left="117"/>
        <w:outlineLvl w:val="0"/>
        <w:rPr>
          <w:rFonts w:ascii="Calibri" w:hAnsi="Calibri"/>
          <w:b/>
          <w:bCs/>
          <w:kern w:val="44"/>
          <w:sz w:val="36"/>
          <w:szCs w:val="44"/>
          <w:highlight w:val="none"/>
        </w:rPr>
        <w:sectPr>
          <w:pgSz w:w="11906" w:h="16838"/>
          <w:pgMar w:top="1587" w:right="1417" w:bottom="1134" w:left="1417" w:header="851" w:footer="992" w:gutter="0"/>
          <w:pgNumType w:fmt="decimal"/>
          <w:cols w:space="0" w:num="1"/>
          <w:titlePg/>
          <w:rtlGutter w:val="0"/>
          <w:docGrid w:type="lines" w:linePitch="312" w:charSpace="0"/>
        </w:sectPr>
      </w:pPr>
      <w:bookmarkStart w:id="23" w:name="_Toc4135"/>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bookmarkEnd w:id="23"/>
    </w:p>
    <w:p w14:paraId="1D654E35">
      <w:pPr>
        <w:keepNext w:val="0"/>
        <w:keepLines w:val="0"/>
        <w:pageBreakBefore w:val="0"/>
        <w:widowControl w:val="0"/>
        <w:kinsoku/>
        <w:wordWrap/>
        <w:overflowPunct/>
        <w:topLinePunct w:val="0"/>
        <w:autoSpaceDE/>
        <w:autoSpaceDN/>
        <w:bidi w:val="0"/>
        <w:spacing w:line="500" w:lineRule="exact"/>
        <w:jc w:val="both"/>
        <w:textAlignment w:val="auto"/>
        <w:rPr>
          <w:rFonts w:ascii="宋体" w:hAnsi="Courier New"/>
          <w:highlight w:val="none"/>
        </w:rPr>
      </w:pPr>
    </w:p>
    <w:p w14:paraId="372202E9">
      <w:pPr>
        <w:pStyle w:val="10"/>
        <w:keepNext w:val="0"/>
        <w:keepLines w:val="0"/>
        <w:pageBreakBefore w:val="0"/>
        <w:widowControl w:val="0"/>
        <w:kinsoku/>
        <w:wordWrap/>
        <w:overflowPunct/>
        <w:topLinePunct w:val="0"/>
        <w:autoSpaceDE/>
        <w:autoSpaceDN/>
        <w:bidi w:val="0"/>
        <w:spacing w:line="500" w:lineRule="exact"/>
        <w:jc w:val="center"/>
        <w:textAlignment w:val="auto"/>
        <w:outlineLvl w:val="1"/>
        <w:rPr>
          <w:rFonts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SRM非生产供应商注册操作手册</w:t>
      </w:r>
    </w:p>
    <w:p w14:paraId="63DC5BB0">
      <w:pPr>
        <w:pStyle w:val="10"/>
        <w:keepNext w:val="0"/>
        <w:keepLines w:val="0"/>
        <w:pageBreakBefore w:val="0"/>
        <w:widowControl w:val="0"/>
        <w:kinsoku/>
        <w:wordWrap/>
        <w:overflowPunct/>
        <w:topLinePunct w:val="0"/>
        <w:autoSpaceDE/>
        <w:autoSpaceDN/>
        <w:bidi w:val="0"/>
        <w:spacing w:line="500" w:lineRule="exact"/>
        <w:jc w:val="center"/>
        <w:textAlignment w:val="auto"/>
        <w:rPr>
          <w:highlight w:val="none"/>
        </w:rPr>
      </w:pPr>
    </w:p>
    <w:p w14:paraId="4FD800ED">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rPr>
          <w:rFonts w:ascii="宋体" w:hAnsi="宋体" w:cs="宋体"/>
          <w:sz w:val="24"/>
          <w:szCs w:val="24"/>
          <w:highlight w:val="none"/>
        </w:rPr>
      </w:pPr>
      <w:r>
        <w:rPr>
          <w:rFonts w:ascii="宋体" w:hAnsi="宋体" w:cs="宋体"/>
          <w:sz w:val="24"/>
          <w:szCs w:val="24"/>
          <w:highlight w:val="none"/>
        </w:rPr>
        <w:t>浏览器中输入地址;</w:t>
      </w:r>
    </w:p>
    <w:p w14:paraId="1D06A4E6">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rPr>
          <w:rFonts w:ascii="宋体" w:hAnsi="宋体" w:cs="宋体"/>
          <w:sz w:val="24"/>
          <w:szCs w:val="24"/>
          <w:highlight w:val="none"/>
        </w:rPr>
      </w:pPr>
      <w:r>
        <w:rPr>
          <w:highlight w:val="none"/>
        </w:rPr>
        <w:fldChar w:fldCharType="begin"/>
      </w:r>
      <w:r>
        <w:rPr>
          <w:highlight w:val="none"/>
        </w:rPr>
        <w:instrText xml:space="preserve"> HYPERLINK "http://ecaitong.sinotruk.com:8012/#/login" \t "dlt" </w:instrText>
      </w:r>
      <w:r>
        <w:rPr>
          <w:highlight w:val="none"/>
        </w:rPr>
        <w:fldChar w:fldCharType="separate"/>
      </w:r>
      <w:r>
        <w:rPr>
          <w:rFonts w:ascii="宋体" w:hAnsi="宋体" w:cs="宋体"/>
          <w:sz w:val="24"/>
          <w:szCs w:val="24"/>
          <w:highlight w:val="none"/>
        </w:rPr>
        <w:t>http</w:t>
      </w:r>
      <w:r>
        <w:rPr>
          <w:rFonts w:hint="eastAsia" w:ascii="宋体" w:hAnsi="宋体" w:cs="宋体"/>
          <w:sz w:val="24"/>
          <w:szCs w:val="24"/>
          <w:highlight w:val="none"/>
        </w:rPr>
        <w:t>s</w:t>
      </w:r>
      <w:r>
        <w:rPr>
          <w:rFonts w:ascii="宋体" w:hAnsi="宋体" w:cs="宋体"/>
          <w:sz w:val="24"/>
          <w:szCs w:val="24"/>
          <w:highlight w:val="none"/>
        </w:rPr>
        <w:t>://ecaitong.sinotruk.com:8012/#/login</w:t>
      </w:r>
      <w:r>
        <w:rPr>
          <w:rFonts w:ascii="宋体" w:hAnsi="宋体" w:cs="宋体"/>
          <w:sz w:val="24"/>
          <w:szCs w:val="24"/>
          <w:highlight w:val="none"/>
        </w:rPr>
        <w:fldChar w:fldCharType="end"/>
      </w:r>
    </w:p>
    <w:p w14:paraId="3C459B1C">
      <w:pPr>
        <w:adjustRightInd w:val="0"/>
        <w:snapToGrid w:val="0"/>
        <w:spacing w:line="360" w:lineRule="auto"/>
        <w:jc w:val="left"/>
        <w:outlineLvl w:val="1"/>
        <w:rPr>
          <w:rFonts w:ascii="宋体" w:hAnsi="宋体" w:cs="宋体"/>
          <w:sz w:val="24"/>
          <w:szCs w:val="24"/>
          <w:highlight w:val="none"/>
        </w:rPr>
      </w:pPr>
      <w:r>
        <w:rPr>
          <w:rFonts w:ascii="宋体" w:hAnsi="宋体" w:cs="宋体"/>
          <w:sz w:val="24"/>
          <w:szCs w:val="24"/>
          <w:highlight w:val="none"/>
        </w:rPr>
        <w:t>1.点击立即注册</w:t>
      </w:r>
    </w:p>
    <w:p w14:paraId="5BF0276E">
      <w:pPr>
        <w:snapToGrid w:val="0"/>
        <w:spacing w:line="312" w:lineRule="auto"/>
        <w:rPr>
          <w:highlight w:val="none"/>
        </w:rPr>
      </w:pPr>
      <w:r>
        <w:rPr>
          <w:highlight w:val="none"/>
        </w:rP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14:paraId="18A6DB35">
      <w:pPr>
        <w:spacing w:line="360" w:lineRule="auto"/>
        <w:outlineLvl w:val="1"/>
        <w:rPr>
          <w:rFonts w:ascii="宋体" w:hAnsi="宋体" w:cs="宋体"/>
          <w:sz w:val="24"/>
          <w:szCs w:val="28"/>
          <w:highlight w:val="none"/>
        </w:rPr>
      </w:pPr>
      <w:r>
        <w:rPr>
          <w:rFonts w:hint="eastAsia" w:ascii="宋体" w:hAnsi="宋体" w:cs="宋体"/>
          <w:color w:val="000000"/>
          <w:sz w:val="24"/>
          <w:szCs w:val="28"/>
          <w:highlight w:val="none"/>
        </w:rPr>
        <w:t>2.</w:t>
      </w:r>
      <w:r>
        <w:rPr>
          <w:rFonts w:ascii="宋体" w:hAnsi="宋体" w:cs="宋体"/>
          <w:color w:val="000000"/>
          <w:sz w:val="24"/>
          <w:szCs w:val="28"/>
          <w:highlight w:val="none"/>
        </w:rPr>
        <w:t>填写手机号码（没有注册过的）</w:t>
      </w:r>
    </w:p>
    <w:p w14:paraId="418B25C8">
      <w:pPr>
        <w:snapToGrid w:val="0"/>
        <w:spacing w:line="312" w:lineRule="auto"/>
        <w:rPr>
          <w:highlight w:val="none"/>
        </w:rPr>
      </w:pPr>
      <w:r>
        <w:rPr>
          <w:highlight w:val="none"/>
        </w:rP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9"/>
                    <a:stretch>
                      <a:fillRect/>
                    </a:stretch>
                  </pic:blipFill>
                  <pic:spPr>
                    <a:xfrm>
                      <a:off x="0" y="0"/>
                      <a:ext cx="5760085" cy="2766707"/>
                    </a:xfrm>
                    <a:prstGeom prst="rect">
                      <a:avLst/>
                    </a:prstGeom>
                  </pic:spPr>
                </pic:pic>
              </a:graphicData>
            </a:graphic>
          </wp:inline>
        </w:drawing>
      </w:r>
    </w:p>
    <w:p w14:paraId="5EB0E82E">
      <w:pPr>
        <w:spacing w:line="360" w:lineRule="auto"/>
        <w:outlineLvl w:val="1"/>
        <w:rPr>
          <w:rFonts w:ascii="宋体" w:hAnsi="宋体" w:cs="宋体"/>
          <w:sz w:val="24"/>
          <w:szCs w:val="28"/>
          <w:highlight w:val="none"/>
        </w:rPr>
      </w:pPr>
      <w:r>
        <w:rPr>
          <w:rFonts w:hint="eastAsia" w:ascii="宋体" w:hAnsi="宋体" w:cs="宋体"/>
          <w:color w:val="000000"/>
          <w:sz w:val="24"/>
          <w:szCs w:val="28"/>
          <w:highlight w:val="none"/>
        </w:rPr>
        <w:t>3.</w:t>
      </w:r>
      <w:r>
        <w:rPr>
          <w:rFonts w:ascii="宋体" w:hAnsi="宋体" w:cs="宋体"/>
          <w:color w:val="000000"/>
          <w:sz w:val="24"/>
          <w:szCs w:val="28"/>
          <w:highlight w:val="none"/>
        </w:rPr>
        <w:t>注册成功登录这个手机号码的账号进入系统，点击供应商注册</w:t>
      </w:r>
    </w:p>
    <w:p w14:paraId="326C4DA8">
      <w:pPr>
        <w:snapToGrid w:val="0"/>
        <w:spacing w:line="312" w:lineRule="auto"/>
        <w:rPr>
          <w:highlight w:val="none"/>
        </w:rPr>
      </w:pPr>
      <w:r>
        <w:rPr>
          <w:highlight w:val="none"/>
        </w:rP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0"/>
                    <a:stretch>
                      <a:fillRect/>
                    </a:stretch>
                  </pic:blipFill>
                  <pic:spPr>
                    <a:xfrm>
                      <a:off x="0" y="0"/>
                      <a:ext cx="5760085" cy="2870054"/>
                    </a:xfrm>
                    <a:prstGeom prst="rect">
                      <a:avLst/>
                    </a:prstGeom>
                  </pic:spPr>
                </pic:pic>
              </a:graphicData>
            </a:graphic>
          </wp:inline>
        </w:drawing>
      </w:r>
    </w:p>
    <w:p w14:paraId="5F111323">
      <w:pPr>
        <w:spacing w:line="360" w:lineRule="auto"/>
        <w:outlineLvl w:val="1"/>
        <w:rPr>
          <w:rFonts w:ascii="宋体" w:hAnsi="宋体" w:cs="宋体"/>
          <w:sz w:val="24"/>
          <w:szCs w:val="28"/>
          <w:highlight w:val="none"/>
        </w:rPr>
      </w:pPr>
      <w:r>
        <w:rPr>
          <w:rFonts w:hint="eastAsia" w:ascii="宋体" w:hAnsi="宋体" w:cs="宋体"/>
          <w:color w:val="000000"/>
          <w:sz w:val="24"/>
          <w:szCs w:val="28"/>
          <w:highlight w:val="none"/>
        </w:rPr>
        <w:t>4.</w:t>
      </w:r>
      <w:r>
        <w:rPr>
          <w:rFonts w:ascii="宋体" w:hAnsi="宋体" w:cs="宋体"/>
          <w:color w:val="000000"/>
          <w:sz w:val="24"/>
          <w:szCs w:val="28"/>
          <w:highlight w:val="none"/>
        </w:rPr>
        <w:t>点击新增</w:t>
      </w:r>
    </w:p>
    <w:p w14:paraId="7B5C9EB8">
      <w:pPr>
        <w:snapToGrid w:val="0"/>
        <w:spacing w:line="312" w:lineRule="auto"/>
        <w:rPr>
          <w:highlight w:val="none"/>
        </w:rPr>
      </w:pPr>
      <w:r>
        <w:rPr>
          <w:highlight w:val="none"/>
        </w:rP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1"/>
                    <a:stretch>
                      <a:fillRect/>
                    </a:stretch>
                  </pic:blipFill>
                  <pic:spPr>
                    <a:xfrm>
                      <a:off x="0" y="0"/>
                      <a:ext cx="5760085" cy="2853375"/>
                    </a:xfrm>
                    <a:prstGeom prst="rect">
                      <a:avLst/>
                    </a:prstGeom>
                  </pic:spPr>
                </pic:pic>
              </a:graphicData>
            </a:graphic>
          </wp:inline>
        </w:drawing>
      </w:r>
    </w:p>
    <w:p w14:paraId="380152E5">
      <w:pPr>
        <w:spacing w:line="360" w:lineRule="auto"/>
        <w:outlineLvl w:val="1"/>
        <w:rPr>
          <w:rFonts w:ascii="宋体" w:hAnsi="宋体" w:cs="宋体"/>
          <w:sz w:val="24"/>
          <w:szCs w:val="28"/>
          <w:highlight w:val="none"/>
        </w:rPr>
      </w:pPr>
      <w:r>
        <w:rPr>
          <w:rFonts w:hint="eastAsia" w:ascii="宋体" w:hAnsi="宋体" w:cs="宋体"/>
          <w:sz w:val="24"/>
          <w:szCs w:val="28"/>
          <w:highlight w:val="none"/>
        </w:rPr>
        <w:t>5</w:t>
      </w:r>
      <w:r>
        <w:rPr>
          <w:rFonts w:hint="eastAsia" w:ascii="宋体" w:hAnsi="宋体" w:cs="宋体"/>
          <w:color w:val="000000"/>
          <w:sz w:val="24"/>
          <w:szCs w:val="28"/>
          <w:highlight w:val="none"/>
        </w:rPr>
        <w:t>.</w:t>
      </w:r>
      <w:r>
        <w:rPr>
          <w:rFonts w:ascii="宋体" w:hAnsi="宋体" w:cs="宋体"/>
          <w:color w:val="000000"/>
          <w:sz w:val="24"/>
          <w:szCs w:val="28"/>
          <w:highlight w:val="none"/>
        </w:rPr>
        <w:t>按要求填写所有信息，注意非生产类要填写合作单位，最后提交审批</w:t>
      </w:r>
    </w:p>
    <w:p w14:paraId="5438C945">
      <w:pPr>
        <w:pStyle w:val="10"/>
        <w:rPr>
          <w:highlight w:val="none"/>
        </w:rPr>
      </w:pPr>
    </w:p>
    <w:p w14:paraId="0B748A22">
      <w:pPr>
        <w:rPr>
          <w:highlight w:val="none"/>
        </w:rPr>
      </w:pPr>
      <w:r>
        <w:rPr>
          <w:highlight w:val="none"/>
        </w:rP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2"/>
                    <a:stretch>
                      <a:fillRect/>
                    </a:stretch>
                  </pic:blipFill>
                  <pic:spPr>
                    <a:xfrm>
                      <a:off x="0" y="0"/>
                      <a:ext cx="5760085" cy="2810122"/>
                    </a:xfrm>
                    <a:prstGeom prst="rect">
                      <a:avLst/>
                    </a:prstGeom>
                  </pic:spPr>
                </pic:pic>
              </a:graphicData>
            </a:graphic>
          </wp:inline>
        </w:drawing>
      </w:r>
    </w:p>
    <w:p w14:paraId="35B769B9">
      <w:pPr>
        <w:pStyle w:val="10"/>
        <w:rPr>
          <w:highlight w:val="none"/>
        </w:rPr>
      </w:pPr>
      <w:r>
        <w:rPr>
          <w:highlight w:val="none"/>
        </w:rP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14:paraId="77B1C866">
      <w:pPr>
        <w:pStyle w:val="10"/>
        <w:rPr>
          <w:highlight w:val="none"/>
        </w:rPr>
      </w:pPr>
    </w:p>
    <w:p w14:paraId="7BF61909">
      <w:pPr>
        <w:pStyle w:val="10"/>
        <w:rPr>
          <w:rFonts w:hAnsi="宋体" w:cs="Times New Roman"/>
          <w:b/>
          <w:color w:val="000000"/>
          <w:sz w:val="24"/>
          <w:szCs w:val="24"/>
          <w:highlight w:val="none"/>
        </w:rPr>
      </w:pPr>
    </w:p>
    <w:p w14:paraId="4617F3BE">
      <w:pPr>
        <w:pStyle w:val="10"/>
        <w:rPr>
          <w:rFonts w:hAnsi="宋体" w:cs="Times New Roman"/>
          <w:b/>
          <w:color w:val="000000"/>
          <w:sz w:val="24"/>
          <w:szCs w:val="24"/>
          <w:highlight w:val="none"/>
        </w:rPr>
      </w:pPr>
    </w:p>
    <w:p w14:paraId="2720BCCE">
      <w:pPr>
        <w:pStyle w:val="10"/>
        <w:rPr>
          <w:rFonts w:hAnsi="宋体" w:cs="Times New Roman"/>
          <w:b/>
          <w:color w:val="000000"/>
          <w:sz w:val="24"/>
          <w:szCs w:val="24"/>
          <w:highlight w:val="none"/>
        </w:rPr>
      </w:pPr>
    </w:p>
    <w:p w14:paraId="20FBC9DD">
      <w:pPr>
        <w:pStyle w:val="10"/>
        <w:rPr>
          <w:rFonts w:hAnsi="宋体" w:cs="Times New Roman"/>
          <w:b/>
          <w:color w:val="000000"/>
          <w:sz w:val="24"/>
          <w:szCs w:val="24"/>
          <w:highlight w:val="none"/>
        </w:rPr>
      </w:pPr>
    </w:p>
    <w:p w14:paraId="180E0F24">
      <w:pPr>
        <w:pStyle w:val="10"/>
        <w:rPr>
          <w:rFonts w:hAnsi="宋体" w:cs="Times New Roman"/>
          <w:b/>
          <w:color w:val="000000"/>
          <w:sz w:val="24"/>
          <w:szCs w:val="24"/>
          <w:highlight w:val="none"/>
        </w:rPr>
      </w:pPr>
    </w:p>
    <w:p w14:paraId="41C3098C">
      <w:pPr>
        <w:pStyle w:val="10"/>
        <w:rPr>
          <w:rFonts w:hAnsi="宋体" w:cs="Times New Roman"/>
          <w:b/>
          <w:color w:val="000000"/>
          <w:sz w:val="24"/>
          <w:szCs w:val="24"/>
          <w:highlight w:val="none"/>
        </w:rPr>
      </w:pPr>
    </w:p>
    <w:p w14:paraId="2B32CA41">
      <w:pPr>
        <w:pStyle w:val="10"/>
        <w:rPr>
          <w:rFonts w:hAnsi="宋体" w:cs="Times New Roman"/>
          <w:b/>
          <w:color w:val="000000"/>
          <w:sz w:val="24"/>
          <w:szCs w:val="24"/>
          <w:highlight w:val="none"/>
        </w:rPr>
      </w:pPr>
    </w:p>
    <w:p w14:paraId="2C2530FD">
      <w:pPr>
        <w:pStyle w:val="10"/>
        <w:rPr>
          <w:rFonts w:hAnsi="宋体" w:cs="Times New Roman"/>
          <w:b/>
          <w:color w:val="000000"/>
          <w:sz w:val="24"/>
          <w:szCs w:val="24"/>
          <w:highlight w:val="none"/>
        </w:rPr>
      </w:pPr>
    </w:p>
    <w:p w14:paraId="1DA83FAA">
      <w:pPr>
        <w:pStyle w:val="10"/>
        <w:rPr>
          <w:rFonts w:hAnsi="宋体" w:cs="Times New Roman"/>
          <w:b/>
          <w:color w:val="000000"/>
          <w:sz w:val="24"/>
          <w:szCs w:val="24"/>
          <w:highlight w:val="none"/>
        </w:rPr>
      </w:pPr>
    </w:p>
    <w:p w14:paraId="08DCE429">
      <w:pPr>
        <w:pStyle w:val="10"/>
        <w:rPr>
          <w:rFonts w:hAnsi="宋体" w:cs="Times New Roman"/>
          <w:b/>
          <w:color w:val="000000"/>
          <w:sz w:val="24"/>
          <w:szCs w:val="24"/>
          <w:highlight w:val="none"/>
        </w:rPr>
      </w:pPr>
    </w:p>
    <w:p w14:paraId="2CF174A3">
      <w:pPr>
        <w:pStyle w:val="10"/>
        <w:rPr>
          <w:rFonts w:hAnsi="宋体" w:cs="Times New Roman"/>
          <w:b/>
          <w:color w:val="000000"/>
          <w:sz w:val="24"/>
          <w:szCs w:val="24"/>
          <w:highlight w:val="none"/>
        </w:rPr>
      </w:pPr>
    </w:p>
    <w:p w14:paraId="3E475DA3">
      <w:pPr>
        <w:pStyle w:val="10"/>
        <w:rPr>
          <w:rFonts w:hAnsi="宋体" w:cs="Times New Roman"/>
          <w:b/>
          <w:color w:val="000000"/>
          <w:sz w:val="24"/>
          <w:szCs w:val="24"/>
          <w:highlight w:val="none"/>
        </w:rPr>
      </w:pPr>
    </w:p>
    <w:p w14:paraId="58168E4A">
      <w:pPr>
        <w:pStyle w:val="10"/>
        <w:rPr>
          <w:rFonts w:hAnsi="宋体" w:cs="Times New Roman"/>
          <w:b/>
          <w:color w:val="000000"/>
          <w:sz w:val="24"/>
          <w:szCs w:val="24"/>
          <w:highlight w:val="none"/>
        </w:rPr>
      </w:pPr>
    </w:p>
    <w:p w14:paraId="4071E4D9">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Ansi="宋体" w:cs="Times New Roman"/>
          <w:b/>
          <w:color w:val="000000"/>
          <w:sz w:val="24"/>
          <w:szCs w:val="24"/>
          <w:highlight w:val="none"/>
        </w:rPr>
      </w:pPr>
    </w:p>
    <w:p w14:paraId="6BE3B9BC">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SRM系统供应商用户手册</w:t>
      </w:r>
    </w:p>
    <w:p w14:paraId="70CDCBBD">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Times New Roman" w:hAnsi="Times New Roman" w:eastAsia="黑体" w:cs="Times New Roman"/>
          <w:b/>
          <w:bCs/>
          <w:sz w:val="36"/>
          <w:highlight w:val="none"/>
        </w:rPr>
      </w:pPr>
    </w:p>
    <w:p w14:paraId="556949D5">
      <w:pPr>
        <w:spacing w:line="360" w:lineRule="auto"/>
        <w:rPr>
          <w:rFonts w:ascii="宋体" w:hAnsi="宋体" w:cs="宋体"/>
          <w:sz w:val="24"/>
          <w:szCs w:val="24"/>
          <w:highlight w:val="none"/>
        </w:rPr>
      </w:pPr>
      <w:r>
        <w:rPr>
          <w:rFonts w:hint="eastAsia" w:ascii="宋体" w:hAnsi="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24"/>
          <w:rFonts w:hint="eastAsia" w:ascii="宋体" w:hAnsi="宋体" w:cs="宋体"/>
          <w:sz w:val="24"/>
          <w:szCs w:val="24"/>
          <w:highlight w:val="none"/>
        </w:rPr>
        <w:t>https://ecaitong.sinotruk.com:8012/</w:t>
      </w:r>
      <w:r>
        <w:rPr>
          <w:rStyle w:val="24"/>
          <w:rFonts w:hint="eastAsia" w:ascii="宋体" w:hAnsi="宋体" w:cs="宋体"/>
          <w:sz w:val="24"/>
          <w:szCs w:val="24"/>
          <w:highlight w:val="none"/>
        </w:rPr>
        <w:fldChar w:fldCharType="end"/>
      </w:r>
    </w:p>
    <w:p w14:paraId="54DB55C3">
      <w:pPr>
        <w:spacing w:line="360" w:lineRule="auto"/>
        <w:rPr>
          <w:rFonts w:ascii="宋体" w:hAnsi="宋体" w:cs="宋体"/>
          <w:sz w:val="24"/>
          <w:szCs w:val="24"/>
          <w:highlight w:val="none"/>
        </w:rPr>
      </w:pPr>
      <w:r>
        <w:rPr>
          <w:rFonts w:hint="eastAsia" w:ascii="宋体" w:hAnsi="宋体" w:cs="宋体"/>
          <w:color w:val="000000"/>
          <w:sz w:val="24"/>
          <w:szCs w:val="24"/>
          <w:highlight w:val="none"/>
        </w:rPr>
        <w:t>用 户 名：gys+供应商代码（</w:t>
      </w:r>
      <w:r>
        <w:rPr>
          <w:rFonts w:hint="eastAsia" w:ascii="宋体" w:hAnsi="宋体" w:cs="宋体"/>
          <w:color w:val="FF0000"/>
          <w:sz w:val="24"/>
          <w:szCs w:val="24"/>
          <w:highlight w:val="none"/>
        </w:rPr>
        <w:t>注意：注册完毕后，用户名不要用手机号登录</w:t>
      </w:r>
      <w:r>
        <w:rPr>
          <w:rFonts w:hint="eastAsia" w:ascii="宋体" w:hAnsi="宋体" w:cs="宋体"/>
          <w:color w:val="000000"/>
          <w:sz w:val="24"/>
          <w:szCs w:val="24"/>
          <w:highlight w:val="none"/>
        </w:rPr>
        <w:t>）</w:t>
      </w:r>
    </w:p>
    <w:p w14:paraId="1A2FE1F4">
      <w:pPr>
        <w:spacing w:line="360" w:lineRule="auto"/>
        <w:rPr>
          <w:rFonts w:ascii="宋体" w:hAnsi="宋体" w:cs="宋体"/>
          <w:sz w:val="24"/>
          <w:szCs w:val="24"/>
          <w:highlight w:val="none"/>
        </w:rPr>
      </w:pPr>
      <w:r>
        <w:rPr>
          <w:rFonts w:hint="eastAsia" w:ascii="宋体" w:hAnsi="宋体" w:cs="宋体"/>
          <w:color w:val="000000"/>
          <w:sz w:val="24"/>
          <w:szCs w:val="24"/>
          <w:highlight w:val="none"/>
        </w:rPr>
        <w:t>初始密码：scm@2022</w:t>
      </w:r>
    </w:p>
    <w:p w14:paraId="205299B3">
      <w:pPr>
        <w:spacing w:line="360" w:lineRule="auto"/>
        <w:outlineLvl w:val="0"/>
        <w:rPr>
          <w:rFonts w:ascii="宋体" w:hAnsi="宋体" w:cs="宋体"/>
          <w:b/>
          <w:bCs/>
          <w:color w:val="000000"/>
          <w:sz w:val="24"/>
          <w:szCs w:val="24"/>
          <w:highlight w:val="none"/>
        </w:rPr>
      </w:pPr>
      <w:bookmarkStart w:id="24" w:name="_Toc3323"/>
      <w:r>
        <w:rPr>
          <w:rFonts w:hint="eastAsia" w:ascii="宋体" w:hAnsi="宋体" w:cs="宋体"/>
          <w:b/>
          <w:bCs/>
          <w:color w:val="000000"/>
          <w:sz w:val="24"/>
          <w:szCs w:val="24"/>
          <w:highlight w:val="none"/>
        </w:rPr>
        <w:t>1.供应商应标</w:t>
      </w:r>
      <w:bookmarkEnd w:id="24"/>
    </w:p>
    <w:p w14:paraId="1FF191E1">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供应商应标</w:t>
      </w:r>
    </w:p>
    <w:p w14:paraId="5077C650">
      <w:pPr>
        <w:spacing w:line="360" w:lineRule="auto"/>
        <w:rPr>
          <w:rFonts w:ascii="宋体" w:hAnsi="宋体" w:cs="宋体"/>
          <w:color w:val="000000"/>
          <w:sz w:val="24"/>
          <w:szCs w:val="24"/>
          <w:highlight w:val="none"/>
        </w:rPr>
      </w:pPr>
      <w:r>
        <w:rPr>
          <w:rFonts w:ascii="宋体" w:hAnsi="宋体" w:cs="宋体"/>
          <w:color w:val="000000"/>
          <w:sz w:val="24"/>
          <w:szCs w:val="24"/>
          <w:highlight w:val="none"/>
        </w:rPr>
        <w:t>点击应标，上传文件之后点击提交。</w:t>
      </w:r>
    </w:p>
    <w:p w14:paraId="15E9632F">
      <w:pPr>
        <w:rPr>
          <w:highlight w:val="none"/>
        </w:rPr>
      </w:pPr>
      <w:r>
        <w:rPr>
          <w:highlight w:val="none"/>
        </w:rP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1C0C8AB8">
      <w:pPr>
        <w:rPr>
          <w:highlight w:val="none"/>
        </w:rPr>
      </w:pPr>
    </w:p>
    <w:p w14:paraId="6C095091">
      <w:pPr>
        <w:spacing w:line="360" w:lineRule="auto"/>
        <w:outlineLvl w:val="0"/>
        <w:rPr>
          <w:rFonts w:ascii="宋体" w:hAnsi="宋体" w:cs="宋体"/>
          <w:b/>
          <w:bCs/>
          <w:color w:val="000000"/>
          <w:sz w:val="24"/>
          <w:szCs w:val="24"/>
          <w:highlight w:val="none"/>
        </w:rPr>
      </w:pPr>
      <w:bookmarkStart w:id="25" w:name="_Toc4507"/>
      <w:r>
        <w:rPr>
          <w:rFonts w:hint="eastAsia" w:ascii="宋体" w:hAnsi="宋体" w:cs="宋体"/>
          <w:b/>
          <w:bCs/>
          <w:color w:val="000000"/>
          <w:sz w:val="24"/>
          <w:szCs w:val="24"/>
          <w:highlight w:val="none"/>
        </w:rPr>
        <w:t>2.供应商投标</w:t>
      </w:r>
      <w:bookmarkEnd w:id="25"/>
    </w:p>
    <w:p w14:paraId="0BB24B3A">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供应商投标</w:t>
      </w:r>
    </w:p>
    <w:p w14:paraId="20042C4F">
      <w:pPr>
        <w:rPr>
          <w:rFonts w:ascii="宋体" w:hAnsi="宋体" w:cs="宋体"/>
          <w:color w:val="000000"/>
          <w:highlight w:val="none"/>
        </w:rPr>
      </w:pPr>
      <w:r>
        <w:rPr>
          <w:rFonts w:ascii="宋体" w:hAnsi="宋体" w:cs="宋体"/>
          <w:color w:val="000000"/>
          <w:highlight w:val="none"/>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0928AC66">
      <w:pPr>
        <w:spacing w:line="360" w:lineRule="auto"/>
        <w:rPr>
          <w:rFonts w:ascii="宋体" w:hAnsi="宋体" w:cs="宋体"/>
          <w:color w:val="000000"/>
          <w:sz w:val="24"/>
          <w:szCs w:val="28"/>
          <w:highlight w:val="none"/>
        </w:rPr>
      </w:pPr>
      <w:r>
        <w:rPr>
          <w:rFonts w:ascii="宋体" w:hAnsi="宋体" w:cs="宋体"/>
          <w:color w:val="000000"/>
          <w:sz w:val="24"/>
          <w:szCs w:val="28"/>
          <w:highlight w:val="none"/>
        </w:rPr>
        <w:t>点击投标按钮，进入详情页，输入投标报价并上传相应的附件。</w:t>
      </w:r>
    </w:p>
    <w:p w14:paraId="73174B96">
      <w:pPr>
        <w:pStyle w:val="10"/>
        <w:rPr>
          <w:highlight w:val="none"/>
        </w:rPr>
      </w:pPr>
      <w:r>
        <w:rPr>
          <w:rFonts w:hint="eastAsia" w:hAnsi="宋体" w:cs="宋体"/>
          <w:color w:val="000000"/>
          <w:sz w:val="24"/>
          <w:szCs w:val="28"/>
          <w:highlight w:val="none"/>
        </w:rPr>
        <w:t>注意：系统内的投标报价单位为“万元”，如开标现场发现填错报价，即直接淘汰。</w:t>
      </w:r>
    </w:p>
    <w:p w14:paraId="0AC9A5E3">
      <w:pPr>
        <w:pStyle w:val="5"/>
        <w:numPr>
          <w:ilvl w:val="0"/>
          <w:numId w:val="0"/>
        </w:numPr>
        <w:rPr>
          <w:rFonts w:eastAsia="Arial" w:cs="Arial"/>
          <w:color w:val="000000"/>
          <w:highlight w:val="none"/>
        </w:rPr>
      </w:pPr>
      <w:r>
        <w:rPr>
          <w:rFonts w:eastAsia="Arial" w:cs="Arial"/>
          <w:color w:val="000000"/>
          <w:highlight w:val="none"/>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36609967">
      <w:pPr>
        <w:spacing w:line="360" w:lineRule="auto"/>
        <w:outlineLvl w:val="0"/>
        <w:rPr>
          <w:rFonts w:ascii="宋体" w:hAnsi="宋体" w:cs="宋体"/>
          <w:b/>
          <w:bCs/>
          <w:color w:val="000000"/>
          <w:sz w:val="24"/>
          <w:szCs w:val="24"/>
          <w:highlight w:val="none"/>
        </w:rPr>
      </w:pPr>
      <w:bookmarkStart w:id="26" w:name="_Toc30037"/>
      <w:r>
        <w:rPr>
          <w:rFonts w:hint="eastAsia" w:ascii="宋体" w:hAnsi="宋体" w:cs="宋体"/>
          <w:b/>
          <w:bCs/>
          <w:color w:val="000000"/>
          <w:sz w:val="24"/>
          <w:szCs w:val="24"/>
          <w:highlight w:val="none"/>
        </w:rPr>
        <w:t>3.供应商技术标澄清函</w:t>
      </w:r>
      <w:bookmarkEnd w:id="26"/>
    </w:p>
    <w:p w14:paraId="1F2BE3A6">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供应商技术标澄清函</w:t>
      </w:r>
    </w:p>
    <w:p w14:paraId="71EC667E">
      <w:pPr>
        <w:spacing w:line="360" w:lineRule="auto"/>
        <w:rPr>
          <w:rFonts w:ascii="宋体" w:hAnsi="宋体" w:cs="宋体"/>
          <w:sz w:val="24"/>
          <w:szCs w:val="24"/>
          <w:highlight w:val="none"/>
        </w:rPr>
      </w:pPr>
      <w:r>
        <w:rPr>
          <w:rFonts w:ascii="宋体" w:hAnsi="宋体" w:cs="宋体"/>
          <w:color w:val="000000"/>
          <w:sz w:val="24"/>
          <w:szCs w:val="24"/>
          <w:highlight w:val="none"/>
        </w:rPr>
        <w:t>点击编辑按钮进入系统，上传技术标澄清函。</w:t>
      </w:r>
    </w:p>
    <w:p w14:paraId="0F3C10EB">
      <w:pPr>
        <w:spacing w:line="360" w:lineRule="auto"/>
        <w:rPr>
          <w:rFonts w:ascii="Arial" w:hAnsi="Arial" w:eastAsia="Arial" w:cs="Arial"/>
          <w:color w:val="000000"/>
          <w:sz w:val="28"/>
          <w:highlight w:val="none"/>
        </w:rPr>
      </w:pPr>
      <w:r>
        <w:rPr>
          <w:rFonts w:ascii="宋体" w:hAnsi="宋体" w:cs="宋体"/>
          <w:color w:val="000000"/>
          <w:sz w:val="24"/>
          <w:szCs w:val="24"/>
          <w:highlight w:val="none"/>
        </w:rPr>
        <w:t>开标之后所有投标的供应商都可编辑提交，技术标入围之后</w:t>
      </w:r>
      <w:r>
        <w:rPr>
          <w:rFonts w:hint="eastAsia" w:ascii="宋体" w:hAnsi="宋体" w:cs="宋体"/>
          <w:color w:val="000000"/>
          <w:sz w:val="24"/>
          <w:szCs w:val="24"/>
          <w:highlight w:val="none"/>
        </w:rPr>
        <w:t xml:space="preserve"> </w:t>
      </w:r>
      <w:r>
        <w:rPr>
          <w:rFonts w:ascii="宋体" w:hAnsi="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6FD24C35">
      <w:pPr>
        <w:spacing w:line="360" w:lineRule="auto"/>
        <w:outlineLvl w:val="0"/>
        <w:rPr>
          <w:rFonts w:ascii="宋体" w:hAnsi="宋体" w:cs="宋体"/>
          <w:b/>
          <w:bCs/>
          <w:color w:val="000000"/>
          <w:sz w:val="24"/>
          <w:szCs w:val="24"/>
          <w:highlight w:val="none"/>
        </w:rPr>
      </w:pPr>
      <w:bookmarkStart w:id="27" w:name="_Toc3204"/>
      <w:r>
        <w:rPr>
          <w:rFonts w:hint="eastAsia" w:ascii="宋体" w:hAnsi="宋体" w:cs="宋体"/>
          <w:b/>
          <w:bCs/>
          <w:color w:val="000000"/>
          <w:sz w:val="24"/>
          <w:szCs w:val="24"/>
          <w:highlight w:val="none"/>
        </w:rPr>
        <w:t>4.供应商报价</w:t>
      </w:r>
      <w:bookmarkEnd w:id="27"/>
    </w:p>
    <w:p w14:paraId="7CEF0847">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供应商报价</w:t>
      </w:r>
    </w:p>
    <w:p w14:paraId="2C89BEF3">
      <w:pPr>
        <w:spacing w:line="360" w:lineRule="auto"/>
        <w:rPr>
          <w:rFonts w:ascii="宋体" w:hAnsi="宋体" w:cs="宋体"/>
          <w:sz w:val="24"/>
          <w:szCs w:val="24"/>
          <w:highlight w:val="none"/>
        </w:rPr>
      </w:pPr>
      <w:r>
        <w:rPr>
          <w:rFonts w:ascii="宋体" w:hAnsi="宋体" w:cs="宋体"/>
          <w:color w:val="000000"/>
          <w:sz w:val="24"/>
          <w:szCs w:val="24"/>
          <w:highlight w:val="none"/>
        </w:rPr>
        <w:t>点击报价按钮进入报价详情界面，请在此轮报价起止时间内报价，否则无法报价。</w:t>
      </w:r>
    </w:p>
    <w:p w14:paraId="1EA2BB05">
      <w:pPr>
        <w:spacing w:line="360" w:lineRule="auto"/>
        <w:outlineLvl w:val="0"/>
        <w:rPr>
          <w:rFonts w:ascii="宋体" w:hAnsi="宋体" w:cs="宋体"/>
          <w:b/>
          <w:bCs/>
          <w:color w:val="000000"/>
          <w:sz w:val="24"/>
          <w:szCs w:val="24"/>
          <w:highlight w:val="none"/>
        </w:rPr>
      </w:pPr>
      <w:bookmarkStart w:id="28" w:name="_Toc31317"/>
      <w:r>
        <w:rPr>
          <w:rFonts w:hint="eastAsia" w:ascii="宋体" w:hAnsi="宋体" w:cs="宋体"/>
          <w:b/>
          <w:bCs/>
          <w:color w:val="000000"/>
          <w:sz w:val="24"/>
          <w:szCs w:val="24"/>
          <w:highlight w:val="none"/>
        </w:rPr>
        <w:t>5.供应商澄清报价</w:t>
      </w:r>
      <w:bookmarkEnd w:id="28"/>
    </w:p>
    <w:p w14:paraId="76723FB3">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供应商澄清报价</w:t>
      </w:r>
    </w:p>
    <w:p w14:paraId="109D99F2">
      <w:pPr>
        <w:spacing w:line="360" w:lineRule="auto"/>
        <w:rPr>
          <w:rFonts w:ascii="宋体" w:hAnsi="宋体" w:cs="宋体"/>
          <w:sz w:val="24"/>
          <w:szCs w:val="24"/>
          <w:highlight w:val="none"/>
        </w:rPr>
      </w:pPr>
      <w:r>
        <w:rPr>
          <w:rFonts w:ascii="宋体" w:hAnsi="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738F4FBA">
      <w:pPr>
        <w:pStyle w:val="5"/>
        <w:numPr>
          <w:ilvl w:val="0"/>
          <w:numId w:val="0"/>
        </w:numPr>
        <w:rPr>
          <w:rFonts w:eastAsia="Arial" w:cs="Arial"/>
          <w:color w:val="000000"/>
          <w:highlight w:val="none"/>
        </w:rPr>
      </w:pPr>
      <w:r>
        <w:rPr>
          <w:rFonts w:eastAsia="Arial" w:cs="Arial"/>
          <w:color w:val="000000"/>
          <w:highlight w:val="none"/>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3E308773">
      <w:pPr>
        <w:spacing w:line="360" w:lineRule="auto"/>
        <w:outlineLvl w:val="0"/>
        <w:rPr>
          <w:rFonts w:ascii="宋体" w:hAnsi="宋体" w:cs="宋体"/>
          <w:b/>
          <w:bCs/>
          <w:color w:val="000000"/>
          <w:sz w:val="24"/>
          <w:szCs w:val="24"/>
          <w:highlight w:val="none"/>
        </w:rPr>
      </w:pPr>
      <w:bookmarkStart w:id="29" w:name="_Toc26492"/>
      <w:r>
        <w:rPr>
          <w:rFonts w:hint="eastAsia" w:ascii="宋体" w:hAnsi="宋体" w:cs="宋体"/>
          <w:b/>
          <w:bCs/>
          <w:color w:val="000000"/>
          <w:sz w:val="24"/>
          <w:szCs w:val="24"/>
          <w:highlight w:val="none"/>
        </w:rPr>
        <w:t>6.供应商查看中标通知</w:t>
      </w:r>
      <w:bookmarkEnd w:id="29"/>
    </w:p>
    <w:p w14:paraId="2FDE6809">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中标项目</w:t>
      </w:r>
    </w:p>
    <w:p w14:paraId="36D62DF1">
      <w:pPr>
        <w:spacing w:line="360" w:lineRule="auto"/>
        <w:rPr>
          <w:rFonts w:ascii="宋体" w:hAnsi="宋体" w:cs="宋体"/>
          <w:sz w:val="24"/>
          <w:szCs w:val="24"/>
          <w:highlight w:val="none"/>
        </w:rPr>
      </w:pPr>
      <w:r>
        <w:rPr>
          <w:rFonts w:ascii="宋体" w:hAnsi="宋体" w:cs="宋体"/>
          <w:color w:val="000000"/>
          <w:sz w:val="24"/>
          <w:szCs w:val="24"/>
          <w:highlight w:val="none"/>
        </w:rPr>
        <w:t>点击查看进入查看中标项目详情</w:t>
      </w:r>
    </w:p>
    <w:p w14:paraId="0E1CA1E3">
      <w:pPr>
        <w:rPr>
          <w:highlight w:val="none"/>
        </w:rPr>
      </w:pPr>
      <w:r>
        <w:rPr>
          <w:highlight w:val="none"/>
        </w:rPr>
        <w:drawing>
          <wp:inline distT="0" distB="0" distL="0" distR="0">
            <wp:extent cx="5760085" cy="24898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2489835"/>
                    </a:xfrm>
                    <a:prstGeom prst="rect">
                      <a:avLst/>
                    </a:prstGeom>
                  </pic:spPr>
                </pic:pic>
              </a:graphicData>
            </a:graphic>
          </wp:inline>
        </w:drawing>
      </w:r>
    </w:p>
    <w:p w14:paraId="2202B5EE">
      <w:pPr>
        <w:pStyle w:val="10"/>
        <w:rPr>
          <w:rFonts w:hAnsi="宋体" w:cs="Times New Roman"/>
          <w:b/>
          <w:color w:val="000000"/>
          <w:sz w:val="24"/>
          <w:szCs w:val="24"/>
          <w:highlight w:val="none"/>
        </w:rPr>
      </w:pPr>
    </w:p>
    <w:p w14:paraId="4FD7202B">
      <w:pPr>
        <w:spacing w:line="440" w:lineRule="exact"/>
        <w:ind w:firstLine="420" w:firstLineChars="200"/>
        <w:rPr>
          <w:rFonts w:ascii="宋体" w:hAnsi="Courier New"/>
          <w:highlight w:val="none"/>
        </w:rPr>
      </w:pPr>
    </w:p>
    <w:p w14:paraId="4D537582">
      <w:pPr>
        <w:pStyle w:val="7"/>
        <w:rPr>
          <w:rFonts w:ascii="宋体" w:hAnsi="宋体"/>
          <w:sz w:val="24"/>
          <w:highlight w:val="none"/>
        </w:rPr>
      </w:pPr>
    </w:p>
    <w:p w14:paraId="0597B389">
      <w:pPr>
        <w:pStyle w:val="7"/>
        <w:rPr>
          <w:highlight w:val="none"/>
        </w:rPr>
      </w:pPr>
    </w:p>
    <w:p w14:paraId="22A1E8AC">
      <w:pPr>
        <w:rPr>
          <w:highlight w:val="none"/>
        </w:rPr>
      </w:pPr>
    </w:p>
    <w:sectPr>
      <w:pgSz w:w="11906" w:h="16838"/>
      <w:pgMar w:top="1587" w:right="1417" w:bottom="1134" w:left="1417" w:header="851" w:footer="992" w:gutter="0"/>
      <w:pgNumType w:fmt="decimal"/>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27E44">
    <w:pPr>
      <w:pStyle w:val="13"/>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4AA88">
    <w:pPr>
      <w:pStyle w:val="13"/>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CAC0C0">
                          <w:pPr>
                            <w:pStyle w:val="13"/>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24CAC0C0">
                    <w:pPr>
                      <w:pStyle w:val="13"/>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90223">
    <w:pPr>
      <w:pStyle w:val="1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86476C">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6786476C">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ED555">
    <w:pPr>
      <w:pStyle w:val="1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A03BC2"/>
    <w:multiLevelType w:val="singleLevel"/>
    <w:tmpl w:val="AAA03BC2"/>
    <w:lvl w:ilvl="0" w:tentative="0">
      <w:start w:val="1"/>
      <w:numFmt w:val="decimal"/>
      <w:pStyle w:val="5"/>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hkMGM3MmM4NzExZDMyMDAwZjczNTM5Nzg4MzI5YTcifQ=="/>
  </w:docVars>
  <w:rsids>
    <w:rsidRoot w:val="00172A27"/>
    <w:rsid w:val="000039FD"/>
    <w:rsid w:val="00015299"/>
    <w:rsid w:val="00015E0D"/>
    <w:rsid w:val="000244B3"/>
    <w:rsid w:val="00037FEA"/>
    <w:rsid w:val="00040CDD"/>
    <w:rsid w:val="00054BC1"/>
    <w:rsid w:val="00066BC6"/>
    <w:rsid w:val="000918C3"/>
    <w:rsid w:val="000A08F6"/>
    <w:rsid w:val="000A6C1D"/>
    <w:rsid w:val="000D030F"/>
    <w:rsid w:val="000D6816"/>
    <w:rsid w:val="000D7E43"/>
    <w:rsid w:val="000E11DF"/>
    <w:rsid w:val="000E1D6A"/>
    <w:rsid w:val="000E1EB0"/>
    <w:rsid w:val="000F74C7"/>
    <w:rsid w:val="001054BC"/>
    <w:rsid w:val="001111A1"/>
    <w:rsid w:val="001160A0"/>
    <w:rsid w:val="00124B86"/>
    <w:rsid w:val="00125A4C"/>
    <w:rsid w:val="0014725F"/>
    <w:rsid w:val="00161153"/>
    <w:rsid w:val="00176A3F"/>
    <w:rsid w:val="00181E01"/>
    <w:rsid w:val="00182A00"/>
    <w:rsid w:val="00187025"/>
    <w:rsid w:val="00196A2A"/>
    <w:rsid w:val="001B3716"/>
    <w:rsid w:val="001E2456"/>
    <w:rsid w:val="001E2654"/>
    <w:rsid w:val="001E2EDF"/>
    <w:rsid w:val="001F0C50"/>
    <w:rsid w:val="001F739D"/>
    <w:rsid w:val="00202D2A"/>
    <w:rsid w:val="00213DA4"/>
    <w:rsid w:val="00214C54"/>
    <w:rsid w:val="00224E70"/>
    <w:rsid w:val="00225CB4"/>
    <w:rsid w:val="00236C19"/>
    <w:rsid w:val="00255A5F"/>
    <w:rsid w:val="00257531"/>
    <w:rsid w:val="00262E60"/>
    <w:rsid w:val="00263E3C"/>
    <w:rsid w:val="00281627"/>
    <w:rsid w:val="00295568"/>
    <w:rsid w:val="00296943"/>
    <w:rsid w:val="002A46AD"/>
    <w:rsid w:val="002B42E4"/>
    <w:rsid w:val="002C4231"/>
    <w:rsid w:val="002D071B"/>
    <w:rsid w:val="002D6C16"/>
    <w:rsid w:val="002E2654"/>
    <w:rsid w:val="002E3BFB"/>
    <w:rsid w:val="00301417"/>
    <w:rsid w:val="003140E9"/>
    <w:rsid w:val="00317394"/>
    <w:rsid w:val="0032767B"/>
    <w:rsid w:val="003351E4"/>
    <w:rsid w:val="003414D2"/>
    <w:rsid w:val="00341BD2"/>
    <w:rsid w:val="00343BE5"/>
    <w:rsid w:val="00353674"/>
    <w:rsid w:val="0035570A"/>
    <w:rsid w:val="00366263"/>
    <w:rsid w:val="00367B34"/>
    <w:rsid w:val="00375545"/>
    <w:rsid w:val="0038116C"/>
    <w:rsid w:val="00381C08"/>
    <w:rsid w:val="003A0656"/>
    <w:rsid w:val="003A7560"/>
    <w:rsid w:val="003B511E"/>
    <w:rsid w:val="003C64EB"/>
    <w:rsid w:val="003D1BDF"/>
    <w:rsid w:val="004063DD"/>
    <w:rsid w:val="00420506"/>
    <w:rsid w:val="004261A7"/>
    <w:rsid w:val="004365F7"/>
    <w:rsid w:val="00441012"/>
    <w:rsid w:val="0046389B"/>
    <w:rsid w:val="00465A2D"/>
    <w:rsid w:val="0047546E"/>
    <w:rsid w:val="00482A3B"/>
    <w:rsid w:val="00486F05"/>
    <w:rsid w:val="00487E03"/>
    <w:rsid w:val="004B546C"/>
    <w:rsid w:val="005012AB"/>
    <w:rsid w:val="00514C62"/>
    <w:rsid w:val="00530E26"/>
    <w:rsid w:val="005559C2"/>
    <w:rsid w:val="0056559A"/>
    <w:rsid w:val="00572F5C"/>
    <w:rsid w:val="00573F5B"/>
    <w:rsid w:val="00587F93"/>
    <w:rsid w:val="005B6585"/>
    <w:rsid w:val="005B6F2C"/>
    <w:rsid w:val="0060686A"/>
    <w:rsid w:val="00607BC2"/>
    <w:rsid w:val="006159F9"/>
    <w:rsid w:val="00620178"/>
    <w:rsid w:val="00624856"/>
    <w:rsid w:val="00650980"/>
    <w:rsid w:val="006531A5"/>
    <w:rsid w:val="006648FD"/>
    <w:rsid w:val="00664D1E"/>
    <w:rsid w:val="00673CCD"/>
    <w:rsid w:val="0068717A"/>
    <w:rsid w:val="00696583"/>
    <w:rsid w:val="00697EA2"/>
    <w:rsid w:val="006A1773"/>
    <w:rsid w:val="006A4830"/>
    <w:rsid w:val="006A7C26"/>
    <w:rsid w:val="006B1916"/>
    <w:rsid w:val="006B45EA"/>
    <w:rsid w:val="006E22DF"/>
    <w:rsid w:val="006F2D1D"/>
    <w:rsid w:val="006F4C09"/>
    <w:rsid w:val="006F7257"/>
    <w:rsid w:val="00730521"/>
    <w:rsid w:val="007407D7"/>
    <w:rsid w:val="00741A30"/>
    <w:rsid w:val="007A66C5"/>
    <w:rsid w:val="007E1D25"/>
    <w:rsid w:val="007E7530"/>
    <w:rsid w:val="00805D91"/>
    <w:rsid w:val="00826C1B"/>
    <w:rsid w:val="00833CE3"/>
    <w:rsid w:val="0083414B"/>
    <w:rsid w:val="00873E3A"/>
    <w:rsid w:val="008861E0"/>
    <w:rsid w:val="0088706A"/>
    <w:rsid w:val="00896D21"/>
    <w:rsid w:val="008A29F8"/>
    <w:rsid w:val="008B4C89"/>
    <w:rsid w:val="008F002C"/>
    <w:rsid w:val="008F4A28"/>
    <w:rsid w:val="00905806"/>
    <w:rsid w:val="00917EDB"/>
    <w:rsid w:val="00920750"/>
    <w:rsid w:val="009275EE"/>
    <w:rsid w:val="009641E2"/>
    <w:rsid w:val="009A24A5"/>
    <w:rsid w:val="009D39EF"/>
    <w:rsid w:val="009D706A"/>
    <w:rsid w:val="009E21EB"/>
    <w:rsid w:val="00A118B9"/>
    <w:rsid w:val="00A15446"/>
    <w:rsid w:val="00A52DC5"/>
    <w:rsid w:val="00A6747D"/>
    <w:rsid w:val="00A7293D"/>
    <w:rsid w:val="00A87200"/>
    <w:rsid w:val="00A9121B"/>
    <w:rsid w:val="00A93987"/>
    <w:rsid w:val="00A94E4E"/>
    <w:rsid w:val="00AA31BE"/>
    <w:rsid w:val="00AA3A13"/>
    <w:rsid w:val="00AA7B2B"/>
    <w:rsid w:val="00AD2690"/>
    <w:rsid w:val="00AE3E17"/>
    <w:rsid w:val="00AE5556"/>
    <w:rsid w:val="00B014B0"/>
    <w:rsid w:val="00B04952"/>
    <w:rsid w:val="00B27112"/>
    <w:rsid w:val="00B30BF4"/>
    <w:rsid w:val="00B4039D"/>
    <w:rsid w:val="00B47C6E"/>
    <w:rsid w:val="00B562B0"/>
    <w:rsid w:val="00B71897"/>
    <w:rsid w:val="00B71E1F"/>
    <w:rsid w:val="00B81D55"/>
    <w:rsid w:val="00B860B4"/>
    <w:rsid w:val="00B91B85"/>
    <w:rsid w:val="00B95837"/>
    <w:rsid w:val="00B97D41"/>
    <w:rsid w:val="00BB30E9"/>
    <w:rsid w:val="00BB4839"/>
    <w:rsid w:val="00C257DD"/>
    <w:rsid w:val="00C26C15"/>
    <w:rsid w:val="00C32311"/>
    <w:rsid w:val="00C55D77"/>
    <w:rsid w:val="00CB1EB4"/>
    <w:rsid w:val="00CC503A"/>
    <w:rsid w:val="00CE04CF"/>
    <w:rsid w:val="00CE4EB9"/>
    <w:rsid w:val="00D03851"/>
    <w:rsid w:val="00D047CB"/>
    <w:rsid w:val="00D21473"/>
    <w:rsid w:val="00D43562"/>
    <w:rsid w:val="00D5154E"/>
    <w:rsid w:val="00D56F7E"/>
    <w:rsid w:val="00D626B3"/>
    <w:rsid w:val="00D6684E"/>
    <w:rsid w:val="00D70EB3"/>
    <w:rsid w:val="00D72C39"/>
    <w:rsid w:val="00D95ED4"/>
    <w:rsid w:val="00DB02C7"/>
    <w:rsid w:val="00DC2D3B"/>
    <w:rsid w:val="00DF14F4"/>
    <w:rsid w:val="00E03EDC"/>
    <w:rsid w:val="00E0425B"/>
    <w:rsid w:val="00E05644"/>
    <w:rsid w:val="00E0592B"/>
    <w:rsid w:val="00E13231"/>
    <w:rsid w:val="00E15CD1"/>
    <w:rsid w:val="00E305E2"/>
    <w:rsid w:val="00E375E6"/>
    <w:rsid w:val="00E4366F"/>
    <w:rsid w:val="00E51036"/>
    <w:rsid w:val="00E51F56"/>
    <w:rsid w:val="00E67661"/>
    <w:rsid w:val="00E756A6"/>
    <w:rsid w:val="00E871EE"/>
    <w:rsid w:val="00E9166E"/>
    <w:rsid w:val="00E9543F"/>
    <w:rsid w:val="00E95900"/>
    <w:rsid w:val="00E97E73"/>
    <w:rsid w:val="00EF5FCA"/>
    <w:rsid w:val="00F05D31"/>
    <w:rsid w:val="00F22435"/>
    <w:rsid w:val="00F2273D"/>
    <w:rsid w:val="00F25542"/>
    <w:rsid w:val="00F25F15"/>
    <w:rsid w:val="00F40D51"/>
    <w:rsid w:val="00F50A8B"/>
    <w:rsid w:val="00F8614E"/>
    <w:rsid w:val="00FA4D06"/>
    <w:rsid w:val="00FC5B3D"/>
    <w:rsid w:val="00FC6CB5"/>
    <w:rsid w:val="00FE438B"/>
    <w:rsid w:val="00FF11E7"/>
    <w:rsid w:val="012F2D10"/>
    <w:rsid w:val="01453A14"/>
    <w:rsid w:val="016139CC"/>
    <w:rsid w:val="01767B23"/>
    <w:rsid w:val="017E6F26"/>
    <w:rsid w:val="01831488"/>
    <w:rsid w:val="018E7819"/>
    <w:rsid w:val="019604A9"/>
    <w:rsid w:val="01FD42EF"/>
    <w:rsid w:val="02395F2F"/>
    <w:rsid w:val="02436043"/>
    <w:rsid w:val="02522030"/>
    <w:rsid w:val="02611E54"/>
    <w:rsid w:val="026933C1"/>
    <w:rsid w:val="0279651D"/>
    <w:rsid w:val="0288383F"/>
    <w:rsid w:val="028A0530"/>
    <w:rsid w:val="02A5425A"/>
    <w:rsid w:val="02B0568A"/>
    <w:rsid w:val="02D149AD"/>
    <w:rsid w:val="02D46657"/>
    <w:rsid w:val="02DB52BD"/>
    <w:rsid w:val="02DC2D3E"/>
    <w:rsid w:val="02E958D7"/>
    <w:rsid w:val="03273887"/>
    <w:rsid w:val="032853BC"/>
    <w:rsid w:val="034858F1"/>
    <w:rsid w:val="035A4CAD"/>
    <w:rsid w:val="036A5588"/>
    <w:rsid w:val="036A712A"/>
    <w:rsid w:val="03786775"/>
    <w:rsid w:val="039203FC"/>
    <w:rsid w:val="03D3663B"/>
    <w:rsid w:val="03D472D2"/>
    <w:rsid w:val="03DB682B"/>
    <w:rsid w:val="0425785D"/>
    <w:rsid w:val="04361CF6"/>
    <w:rsid w:val="043B10FF"/>
    <w:rsid w:val="048C0506"/>
    <w:rsid w:val="04A17265"/>
    <w:rsid w:val="04AE64BD"/>
    <w:rsid w:val="04B163D7"/>
    <w:rsid w:val="04B32944"/>
    <w:rsid w:val="04EE3948"/>
    <w:rsid w:val="04F311AF"/>
    <w:rsid w:val="05011ADD"/>
    <w:rsid w:val="05105552"/>
    <w:rsid w:val="05133C63"/>
    <w:rsid w:val="051D6770"/>
    <w:rsid w:val="056703FD"/>
    <w:rsid w:val="05690B31"/>
    <w:rsid w:val="057876ED"/>
    <w:rsid w:val="05885E20"/>
    <w:rsid w:val="059267A3"/>
    <w:rsid w:val="05984B9D"/>
    <w:rsid w:val="05BB5375"/>
    <w:rsid w:val="05CE10C1"/>
    <w:rsid w:val="05D07899"/>
    <w:rsid w:val="05D34D9F"/>
    <w:rsid w:val="05F509D2"/>
    <w:rsid w:val="05F62280"/>
    <w:rsid w:val="0622059D"/>
    <w:rsid w:val="063D3ECC"/>
    <w:rsid w:val="069A035E"/>
    <w:rsid w:val="06A665F7"/>
    <w:rsid w:val="06B5558D"/>
    <w:rsid w:val="06F71DD2"/>
    <w:rsid w:val="06FB3B03"/>
    <w:rsid w:val="06FE205F"/>
    <w:rsid w:val="070B2161"/>
    <w:rsid w:val="07126147"/>
    <w:rsid w:val="0715212E"/>
    <w:rsid w:val="071B07B5"/>
    <w:rsid w:val="071F0E51"/>
    <w:rsid w:val="073D1FEE"/>
    <w:rsid w:val="074E1599"/>
    <w:rsid w:val="07532B5F"/>
    <w:rsid w:val="077965D0"/>
    <w:rsid w:val="077E0AE9"/>
    <w:rsid w:val="07B4177C"/>
    <w:rsid w:val="07CF4DE0"/>
    <w:rsid w:val="07DF75F9"/>
    <w:rsid w:val="07E43A81"/>
    <w:rsid w:val="07E84685"/>
    <w:rsid w:val="081F675F"/>
    <w:rsid w:val="08215F31"/>
    <w:rsid w:val="082F287B"/>
    <w:rsid w:val="08521B36"/>
    <w:rsid w:val="086F75C9"/>
    <w:rsid w:val="087864F3"/>
    <w:rsid w:val="0885360A"/>
    <w:rsid w:val="089A029D"/>
    <w:rsid w:val="08A27337"/>
    <w:rsid w:val="08AD4471"/>
    <w:rsid w:val="08BB245F"/>
    <w:rsid w:val="08C77405"/>
    <w:rsid w:val="08E510A5"/>
    <w:rsid w:val="08FD1FCF"/>
    <w:rsid w:val="08FF7955"/>
    <w:rsid w:val="091A12E3"/>
    <w:rsid w:val="0922698B"/>
    <w:rsid w:val="092E02FB"/>
    <w:rsid w:val="0937003C"/>
    <w:rsid w:val="096F3207"/>
    <w:rsid w:val="09806D3B"/>
    <w:rsid w:val="099111BE"/>
    <w:rsid w:val="09991E4D"/>
    <w:rsid w:val="09B207F9"/>
    <w:rsid w:val="09B90AFC"/>
    <w:rsid w:val="09CE47AD"/>
    <w:rsid w:val="09EA5159"/>
    <w:rsid w:val="09F124DC"/>
    <w:rsid w:val="0A0124A3"/>
    <w:rsid w:val="0A033827"/>
    <w:rsid w:val="0A062BA1"/>
    <w:rsid w:val="0A156FE1"/>
    <w:rsid w:val="0A2B13BC"/>
    <w:rsid w:val="0A374116"/>
    <w:rsid w:val="0A557084"/>
    <w:rsid w:val="0A573505"/>
    <w:rsid w:val="0A641E54"/>
    <w:rsid w:val="0A64315D"/>
    <w:rsid w:val="0A863781"/>
    <w:rsid w:val="0A8729A8"/>
    <w:rsid w:val="0A937AE7"/>
    <w:rsid w:val="0AC018B0"/>
    <w:rsid w:val="0B1D155E"/>
    <w:rsid w:val="0B386398"/>
    <w:rsid w:val="0B4266EB"/>
    <w:rsid w:val="0B45790A"/>
    <w:rsid w:val="0B5843AD"/>
    <w:rsid w:val="0B6017B9"/>
    <w:rsid w:val="0B8373EF"/>
    <w:rsid w:val="0B971913"/>
    <w:rsid w:val="0BB53545"/>
    <w:rsid w:val="0BE51013"/>
    <w:rsid w:val="0BE65DF4"/>
    <w:rsid w:val="0C122745"/>
    <w:rsid w:val="0C31628E"/>
    <w:rsid w:val="0C3C7EA2"/>
    <w:rsid w:val="0C4B11C9"/>
    <w:rsid w:val="0C4B3E59"/>
    <w:rsid w:val="0C853B1A"/>
    <w:rsid w:val="0C8602EC"/>
    <w:rsid w:val="0C88659A"/>
    <w:rsid w:val="0C924DEE"/>
    <w:rsid w:val="0CB3547B"/>
    <w:rsid w:val="0CCB7FFA"/>
    <w:rsid w:val="0CF10C4B"/>
    <w:rsid w:val="0CF84B54"/>
    <w:rsid w:val="0D011AF9"/>
    <w:rsid w:val="0D015662"/>
    <w:rsid w:val="0D053F9C"/>
    <w:rsid w:val="0D1036FE"/>
    <w:rsid w:val="0D18082E"/>
    <w:rsid w:val="0D3E2F48"/>
    <w:rsid w:val="0D5044E7"/>
    <w:rsid w:val="0D5613D5"/>
    <w:rsid w:val="0D621D65"/>
    <w:rsid w:val="0D731580"/>
    <w:rsid w:val="0D77682B"/>
    <w:rsid w:val="0D7A532C"/>
    <w:rsid w:val="0DC63892"/>
    <w:rsid w:val="0DD40A08"/>
    <w:rsid w:val="0DE1665D"/>
    <w:rsid w:val="0DE7465B"/>
    <w:rsid w:val="0DE97B5E"/>
    <w:rsid w:val="0DED1503"/>
    <w:rsid w:val="0DF33CF1"/>
    <w:rsid w:val="0E1A3BB0"/>
    <w:rsid w:val="0E552513"/>
    <w:rsid w:val="0E674ED2"/>
    <w:rsid w:val="0EB360DE"/>
    <w:rsid w:val="0ED2440E"/>
    <w:rsid w:val="0EFC5A27"/>
    <w:rsid w:val="0F0B47BD"/>
    <w:rsid w:val="0F0D2236"/>
    <w:rsid w:val="0F1550CD"/>
    <w:rsid w:val="0F2365E1"/>
    <w:rsid w:val="0F34205B"/>
    <w:rsid w:val="0F5117D6"/>
    <w:rsid w:val="0F793CA1"/>
    <w:rsid w:val="0F8F3712"/>
    <w:rsid w:val="0F986AF8"/>
    <w:rsid w:val="0FEE34C9"/>
    <w:rsid w:val="0FEE632A"/>
    <w:rsid w:val="10094131"/>
    <w:rsid w:val="100C62CC"/>
    <w:rsid w:val="101A3B79"/>
    <w:rsid w:val="104D064D"/>
    <w:rsid w:val="10574D0E"/>
    <w:rsid w:val="10662971"/>
    <w:rsid w:val="1074723A"/>
    <w:rsid w:val="107E484D"/>
    <w:rsid w:val="108C1EAE"/>
    <w:rsid w:val="109E6D51"/>
    <w:rsid w:val="10A27D57"/>
    <w:rsid w:val="10B503BE"/>
    <w:rsid w:val="10C14E82"/>
    <w:rsid w:val="10DB1CB0"/>
    <w:rsid w:val="11053269"/>
    <w:rsid w:val="110A7CF6"/>
    <w:rsid w:val="11422A71"/>
    <w:rsid w:val="11426303"/>
    <w:rsid w:val="114465A5"/>
    <w:rsid w:val="1149506D"/>
    <w:rsid w:val="115D3D0D"/>
    <w:rsid w:val="115E1300"/>
    <w:rsid w:val="119D105F"/>
    <w:rsid w:val="11B76268"/>
    <w:rsid w:val="11EE1165"/>
    <w:rsid w:val="11F55185"/>
    <w:rsid w:val="1231003F"/>
    <w:rsid w:val="123A0C48"/>
    <w:rsid w:val="123C1304"/>
    <w:rsid w:val="123E2093"/>
    <w:rsid w:val="125E74E2"/>
    <w:rsid w:val="12712DC5"/>
    <w:rsid w:val="12787CDD"/>
    <w:rsid w:val="128E407F"/>
    <w:rsid w:val="1295180B"/>
    <w:rsid w:val="129B6A1F"/>
    <w:rsid w:val="12C46AD7"/>
    <w:rsid w:val="12D15108"/>
    <w:rsid w:val="12D85778"/>
    <w:rsid w:val="12FC2E1F"/>
    <w:rsid w:val="13031357"/>
    <w:rsid w:val="131A6F25"/>
    <w:rsid w:val="131F5B97"/>
    <w:rsid w:val="13255180"/>
    <w:rsid w:val="13270D7A"/>
    <w:rsid w:val="13667A01"/>
    <w:rsid w:val="13A33CA4"/>
    <w:rsid w:val="13A36145"/>
    <w:rsid w:val="13AA5AD0"/>
    <w:rsid w:val="13AF1D43"/>
    <w:rsid w:val="13B642FE"/>
    <w:rsid w:val="13B82867"/>
    <w:rsid w:val="13CA3E07"/>
    <w:rsid w:val="13CD6F8A"/>
    <w:rsid w:val="13D15990"/>
    <w:rsid w:val="13D502B6"/>
    <w:rsid w:val="13D7311C"/>
    <w:rsid w:val="13E9022F"/>
    <w:rsid w:val="13F707FD"/>
    <w:rsid w:val="141A2ADF"/>
    <w:rsid w:val="14250C9D"/>
    <w:rsid w:val="142B0E90"/>
    <w:rsid w:val="146F4594"/>
    <w:rsid w:val="14A127E5"/>
    <w:rsid w:val="14B02E00"/>
    <w:rsid w:val="14B51486"/>
    <w:rsid w:val="14BA1191"/>
    <w:rsid w:val="14D4516D"/>
    <w:rsid w:val="15030AD9"/>
    <w:rsid w:val="15090F10"/>
    <w:rsid w:val="15121A08"/>
    <w:rsid w:val="151A0F1F"/>
    <w:rsid w:val="15267814"/>
    <w:rsid w:val="15273D43"/>
    <w:rsid w:val="156712A9"/>
    <w:rsid w:val="157629DC"/>
    <w:rsid w:val="157D344D"/>
    <w:rsid w:val="15910B7E"/>
    <w:rsid w:val="15B21729"/>
    <w:rsid w:val="15C23B9A"/>
    <w:rsid w:val="15DA67BC"/>
    <w:rsid w:val="15FA4976"/>
    <w:rsid w:val="16415FFE"/>
    <w:rsid w:val="168A398A"/>
    <w:rsid w:val="16912FBD"/>
    <w:rsid w:val="16B207CA"/>
    <w:rsid w:val="16C624EA"/>
    <w:rsid w:val="16C92C9F"/>
    <w:rsid w:val="16FE00C6"/>
    <w:rsid w:val="17081026"/>
    <w:rsid w:val="170D59F4"/>
    <w:rsid w:val="171844F3"/>
    <w:rsid w:val="17255D87"/>
    <w:rsid w:val="173A48D6"/>
    <w:rsid w:val="173C59AC"/>
    <w:rsid w:val="174B41B3"/>
    <w:rsid w:val="1767588B"/>
    <w:rsid w:val="17692FF8"/>
    <w:rsid w:val="1776488C"/>
    <w:rsid w:val="17825F6C"/>
    <w:rsid w:val="17877C80"/>
    <w:rsid w:val="17912EB8"/>
    <w:rsid w:val="17DF5199"/>
    <w:rsid w:val="17E4768B"/>
    <w:rsid w:val="180026D3"/>
    <w:rsid w:val="18176A80"/>
    <w:rsid w:val="18176D37"/>
    <w:rsid w:val="182932F0"/>
    <w:rsid w:val="184616E2"/>
    <w:rsid w:val="18550589"/>
    <w:rsid w:val="185F480A"/>
    <w:rsid w:val="18617D0D"/>
    <w:rsid w:val="188E5DDF"/>
    <w:rsid w:val="18EB1E70"/>
    <w:rsid w:val="18EF137B"/>
    <w:rsid w:val="18F2402A"/>
    <w:rsid w:val="18F3727C"/>
    <w:rsid w:val="18F44CFE"/>
    <w:rsid w:val="19180BFF"/>
    <w:rsid w:val="19343E52"/>
    <w:rsid w:val="193F66C8"/>
    <w:rsid w:val="195725A1"/>
    <w:rsid w:val="1964413C"/>
    <w:rsid w:val="19706CFD"/>
    <w:rsid w:val="19782D58"/>
    <w:rsid w:val="197F66AA"/>
    <w:rsid w:val="19A22534"/>
    <w:rsid w:val="19A317C3"/>
    <w:rsid w:val="19A54B21"/>
    <w:rsid w:val="19AE3232"/>
    <w:rsid w:val="19B06735"/>
    <w:rsid w:val="19B17A41"/>
    <w:rsid w:val="19D52C5C"/>
    <w:rsid w:val="19DB30C1"/>
    <w:rsid w:val="19FE0A33"/>
    <w:rsid w:val="1A141D7E"/>
    <w:rsid w:val="1A357F21"/>
    <w:rsid w:val="1A551442"/>
    <w:rsid w:val="1A676352"/>
    <w:rsid w:val="1AEC4E38"/>
    <w:rsid w:val="1AFE7AC6"/>
    <w:rsid w:val="1B253925"/>
    <w:rsid w:val="1B2D351A"/>
    <w:rsid w:val="1B4A2C53"/>
    <w:rsid w:val="1B75731B"/>
    <w:rsid w:val="1BA67AEA"/>
    <w:rsid w:val="1BDC7FC4"/>
    <w:rsid w:val="1BDF56C5"/>
    <w:rsid w:val="1BF252AE"/>
    <w:rsid w:val="1C07688A"/>
    <w:rsid w:val="1C0E2142"/>
    <w:rsid w:val="1C104F9B"/>
    <w:rsid w:val="1C117199"/>
    <w:rsid w:val="1C3715D7"/>
    <w:rsid w:val="1C4B73E9"/>
    <w:rsid w:val="1C816553"/>
    <w:rsid w:val="1C865AAB"/>
    <w:rsid w:val="1CAF5D9E"/>
    <w:rsid w:val="1CC2453B"/>
    <w:rsid w:val="1CD55894"/>
    <w:rsid w:val="1CD96BE2"/>
    <w:rsid w:val="1CDD6EB1"/>
    <w:rsid w:val="1CDF436F"/>
    <w:rsid w:val="1CE83979"/>
    <w:rsid w:val="1CF62125"/>
    <w:rsid w:val="1CFE13A0"/>
    <w:rsid w:val="1D201555"/>
    <w:rsid w:val="1D3F2158"/>
    <w:rsid w:val="1D436612"/>
    <w:rsid w:val="1D9C4722"/>
    <w:rsid w:val="1DA069AB"/>
    <w:rsid w:val="1DD97567"/>
    <w:rsid w:val="1DEF0B38"/>
    <w:rsid w:val="1DFD34C1"/>
    <w:rsid w:val="1E0B27D7"/>
    <w:rsid w:val="1E117F64"/>
    <w:rsid w:val="1E287B89"/>
    <w:rsid w:val="1E2C4463"/>
    <w:rsid w:val="1E314C15"/>
    <w:rsid w:val="1E3C67A3"/>
    <w:rsid w:val="1E856ED3"/>
    <w:rsid w:val="1EAB5EF7"/>
    <w:rsid w:val="1ECD2CE2"/>
    <w:rsid w:val="1EDC7DA8"/>
    <w:rsid w:val="1EEF62CD"/>
    <w:rsid w:val="1F0869EA"/>
    <w:rsid w:val="1F122D30"/>
    <w:rsid w:val="1F137E76"/>
    <w:rsid w:val="1F1C3919"/>
    <w:rsid w:val="1F3025BA"/>
    <w:rsid w:val="1F3233D2"/>
    <w:rsid w:val="1F58785A"/>
    <w:rsid w:val="1F7A1CD0"/>
    <w:rsid w:val="1FC803E8"/>
    <w:rsid w:val="1FCA4D36"/>
    <w:rsid w:val="1FF548C8"/>
    <w:rsid w:val="1FFF212D"/>
    <w:rsid w:val="200C6AA5"/>
    <w:rsid w:val="203A51A7"/>
    <w:rsid w:val="2043260B"/>
    <w:rsid w:val="206E6027"/>
    <w:rsid w:val="208D46B8"/>
    <w:rsid w:val="208E145F"/>
    <w:rsid w:val="20913154"/>
    <w:rsid w:val="209B043C"/>
    <w:rsid w:val="20AE082C"/>
    <w:rsid w:val="20B65C39"/>
    <w:rsid w:val="20D970F2"/>
    <w:rsid w:val="20E93CF9"/>
    <w:rsid w:val="20FD3E2F"/>
    <w:rsid w:val="21170748"/>
    <w:rsid w:val="21332A32"/>
    <w:rsid w:val="213A0410"/>
    <w:rsid w:val="21457AA6"/>
    <w:rsid w:val="216A315E"/>
    <w:rsid w:val="217B6997"/>
    <w:rsid w:val="219D5F36"/>
    <w:rsid w:val="21A62FC3"/>
    <w:rsid w:val="21B96760"/>
    <w:rsid w:val="21BD5166"/>
    <w:rsid w:val="21C26CCA"/>
    <w:rsid w:val="21D0113C"/>
    <w:rsid w:val="21D7362A"/>
    <w:rsid w:val="21E360C5"/>
    <w:rsid w:val="21EC5CB5"/>
    <w:rsid w:val="21F03485"/>
    <w:rsid w:val="21F56E91"/>
    <w:rsid w:val="2206685F"/>
    <w:rsid w:val="221F7512"/>
    <w:rsid w:val="22422E41"/>
    <w:rsid w:val="225C2514"/>
    <w:rsid w:val="225E4CF0"/>
    <w:rsid w:val="22632F8C"/>
    <w:rsid w:val="22645D35"/>
    <w:rsid w:val="226C1A87"/>
    <w:rsid w:val="22A51891"/>
    <w:rsid w:val="22AA736D"/>
    <w:rsid w:val="22AD41D9"/>
    <w:rsid w:val="22AF1419"/>
    <w:rsid w:val="22B84105"/>
    <w:rsid w:val="22C8691D"/>
    <w:rsid w:val="22EC56A6"/>
    <w:rsid w:val="22EF2384"/>
    <w:rsid w:val="230022FA"/>
    <w:rsid w:val="23222C5F"/>
    <w:rsid w:val="233E2EB1"/>
    <w:rsid w:val="23527219"/>
    <w:rsid w:val="235B53E0"/>
    <w:rsid w:val="237B1C44"/>
    <w:rsid w:val="238B0A63"/>
    <w:rsid w:val="23D70CD9"/>
    <w:rsid w:val="23DA1C5E"/>
    <w:rsid w:val="23E435FF"/>
    <w:rsid w:val="23FB5A15"/>
    <w:rsid w:val="23FE1AD5"/>
    <w:rsid w:val="24140B3E"/>
    <w:rsid w:val="241D144D"/>
    <w:rsid w:val="24233357"/>
    <w:rsid w:val="243512C2"/>
    <w:rsid w:val="24415E66"/>
    <w:rsid w:val="24885842"/>
    <w:rsid w:val="24983315"/>
    <w:rsid w:val="24AA6D8B"/>
    <w:rsid w:val="24D81B80"/>
    <w:rsid w:val="25024F43"/>
    <w:rsid w:val="250F3174"/>
    <w:rsid w:val="25361F1A"/>
    <w:rsid w:val="255911D5"/>
    <w:rsid w:val="256E58F7"/>
    <w:rsid w:val="25702FF9"/>
    <w:rsid w:val="25832019"/>
    <w:rsid w:val="25E642BC"/>
    <w:rsid w:val="261A696E"/>
    <w:rsid w:val="26241BA3"/>
    <w:rsid w:val="262650A6"/>
    <w:rsid w:val="263578BE"/>
    <w:rsid w:val="26361ABD"/>
    <w:rsid w:val="265448F0"/>
    <w:rsid w:val="268F74A1"/>
    <w:rsid w:val="26C40427"/>
    <w:rsid w:val="26CC32B5"/>
    <w:rsid w:val="26E72CF4"/>
    <w:rsid w:val="26ED37EA"/>
    <w:rsid w:val="26F9507E"/>
    <w:rsid w:val="271414AB"/>
    <w:rsid w:val="271C4469"/>
    <w:rsid w:val="271C4BC8"/>
    <w:rsid w:val="272A364F"/>
    <w:rsid w:val="273370CF"/>
    <w:rsid w:val="27550294"/>
    <w:rsid w:val="27551F14"/>
    <w:rsid w:val="2759091B"/>
    <w:rsid w:val="27705CAA"/>
    <w:rsid w:val="27826986"/>
    <w:rsid w:val="278674BE"/>
    <w:rsid w:val="279D398E"/>
    <w:rsid w:val="27A22014"/>
    <w:rsid w:val="27B21B89"/>
    <w:rsid w:val="27C8781B"/>
    <w:rsid w:val="27F42F5B"/>
    <w:rsid w:val="281A0EA7"/>
    <w:rsid w:val="28412CE5"/>
    <w:rsid w:val="2846729E"/>
    <w:rsid w:val="28487D4A"/>
    <w:rsid w:val="28634650"/>
    <w:rsid w:val="28652094"/>
    <w:rsid w:val="28676A4F"/>
    <w:rsid w:val="286F468E"/>
    <w:rsid w:val="287C7778"/>
    <w:rsid w:val="28956124"/>
    <w:rsid w:val="28B1744D"/>
    <w:rsid w:val="28DE3F9A"/>
    <w:rsid w:val="290618DB"/>
    <w:rsid w:val="291E49C7"/>
    <w:rsid w:val="294739C9"/>
    <w:rsid w:val="296F4668"/>
    <w:rsid w:val="29707AE1"/>
    <w:rsid w:val="297D6603"/>
    <w:rsid w:val="29A86CB5"/>
    <w:rsid w:val="29AC1FD3"/>
    <w:rsid w:val="29B042F2"/>
    <w:rsid w:val="29E37FC4"/>
    <w:rsid w:val="2A06727F"/>
    <w:rsid w:val="2A0D248D"/>
    <w:rsid w:val="2A276A0A"/>
    <w:rsid w:val="2A293624"/>
    <w:rsid w:val="2A3C5957"/>
    <w:rsid w:val="2A471763"/>
    <w:rsid w:val="2A50622B"/>
    <w:rsid w:val="2A524E42"/>
    <w:rsid w:val="2A573E05"/>
    <w:rsid w:val="2A8F62DB"/>
    <w:rsid w:val="2A9F6179"/>
    <w:rsid w:val="2ABC6246"/>
    <w:rsid w:val="2ACE2709"/>
    <w:rsid w:val="2AD44455"/>
    <w:rsid w:val="2AE546EF"/>
    <w:rsid w:val="2AF6240B"/>
    <w:rsid w:val="2B0D6C28"/>
    <w:rsid w:val="2B172940"/>
    <w:rsid w:val="2B204D92"/>
    <w:rsid w:val="2B255FBA"/>
    <w:rsid w:val="2B27334F"/>
    <w:rsid w:val="2B361147"/>
    <w:rsid w:val="2B3C2EE3"/>
    <w:rsid w:val="2B690FE4"/>
    <w:rsid w:val="2B8A2873"/>
    <w:rsid w:val="2B8B7A2B"/>
    <w:rsid w:val="2B972A86"/>
    <w:rsid w:val="2BAF21A8"/>
    <w:rsid w:val="2BE47802"/>
    <w:rsid w:val="2C01033F"/>
    <w:rsid w:val="2C106849"/>
    <w:rsid w:val="2C292DC5"/>
    <w:rsid w:val="2C320B0E"/>
    <w:rsid w:val="2C647A54"/>
    <w:rsid w:val="2C73669D"/>
    <w:rsid w:val="2C830D32"/>
    <w:rsid w:val="2C852F1B"/>
    <w:rsid w:val="2C8B24A1"/>
    <w:rsid w:val="2C9A25B7"/>
    <w:rsid w:val="2CAC615D"/>
    <w:rsid w:val="2CBA556F"/>
    <w:rsid w:val="2CC07975"/>
    <w:rsid w:val="2CC82306"/>
    <w:rsid w:val="2CDE41A9"/>
    <w:rsid w:val="2CEA2186"/>
    <w:rsid w:val="2CF2314A"/>
    <w:rsid w:val="2D090A00"/>
    <w:rsid w:val="2D214C54"/>
    <w:rsid w:val="2D2E5194"/>
    <w:rsid w:val="2D306A77"/>
    <w:rsid w:val="2D3A63C1"/>
    <w:rsid w:val="2D4609D6"/>
    <w:rsid w:val="2D586372"/>
    <w:rsid w:val="2D9030C9"/>
    <w:rsid w:val="2DA32AC3"/>
    <w:rsid w:val="2DED4667"/>
    <w:rsid w:val="2E047B0F"/>
    <w:rsid w:val="2E1546AC"/>
    <w:rsid w:val="2E1B3283"/>
    <w:rsid w:val="2E203BBC"/>
    <w:rsid w:val="2E32193B"/>
    <w:rsid w:val="2E39231C"/>
    <w:rsid w:val="2E56209C"/>
    <w:rsid w:val="2E8337A2"/>
    <w:rsid w:val="2E8A57EA"/>
    <w:rsid w:val="2EB4662E"/>
    <w:rsid w:val="2EB72FAC"/>
    <w:rsid w:val="2EDC3FD6"/>
    <w:rsid w:val="2EEA5313"/>
    <w:rsid w:val="2F1A1856"/>
    <w:rsid w:val="2F397A40"/>
    <w:rsid w:val="2F3A4309"/>
    <w:rsid w:val="2F5B483E"/>
    <w:rsid w:val="2F5D35C4"/>
    <w:rsid w:val="2F666B63"/>
    <w:rsid w:val="2F8D6311"/>
    <w:rsid w:val="2F9F78B1"/>
    <w:rsid w:val="2FEA3FFE"/>
    <w:rsid w:val="2FF10740"/>
    <w:rsid w:val="2FF67B04"/>
    <w:rsid w:val="2FFB00F8"/>
    <w:rsid w:val="300F55E6"/>
    <w:rsid w:val="30305B1B"/>
    <w:rsid w:val="304622C4"/>
    <w:rsid w:val="305F38FB"/>
    <w:rsid w:val="30611B6D"/>
    <w:rsid w:val="30612B5B"/>
    <w:rsid w:val="30643F13"/>
    <w:rsid w:val="306B6744"/>
    <w:rsid w:val="306C7EFE"/>
    <w:rsid w:val="307418D9"/>
    <w:rsid w:val="308471EB"/>
    <w:rsid w:val="308952B0"/>
    <w:rsid w:val="308A4F2F"/>
    <w:rsid w:val="30902D45"/>
    <w:rsid w:val="3092460A"/>
    <w:rsid w:val="30956529"/>
    <w:rsid w:val="309918E9"/>
    <w:rsid w:val="309C64CF"/>
    <w:rsid w:val="30A26212"/>
    <w:rsid w:val="30A91A2E"/>
    <w:rsid w:val="30B20672"/>
    <w:rsid w:val="31416C5C"/>
    <w:rsid w:val="315707D8"/>
    <w:rsid w:val="316D0DA5"/>
    <w:rsid w:val="316E16C0"/>
    <w:rsid w:val="31B3151A"/>
    <w:rsid w:val="31BA0EA5"/>
    <w:rsid w:val="31BD1E29"/>
    <w:rsid w:val="31BE6E53"/>
    <w:rsid w:val="31C02DAE"/>
    <w:rsid w:val="31CB333D"/>
    <w:rsid w:val="31F167D5"/>
    <w:rsid w:val="31F36A80"/>
    <w:rsid w:val="320209E2"/>
    <w:rsid w:val="32354F6B"/>
    <w:rsid w:val="32406B7F"/>
    <w:rsid w:val="326B1AE0"/>
    <w:rsid w:val="32747C01"/>
    <w:rsid w:val="32812E6C"/>
    <w:rsid w:val="32883A6D"/>
    <w:rsid w:val="32904003"/>
    <w:rsid w:val="32951856"/>
    <w:rsid w:val="32990513"/>
    <w:rsid w:val="32A95302"/>
    <w:rsid w:val="32CB5278"/>
    <w:rsid w:val="330865C8"/>
    <w:rsid w:val="330B779A"/>
    <w:rsid w:val="33205E2B"/>
    <w:rsid w:val="333C359F"/>
    <w:rsid w:val="33423060"/>
    <w:rsid w:val="338F274A"/>
    <w:rsid w:val="339935C8"/>
    <w:rsid w:val="339C6C14"/>
    <w:rsid w:val="339F6038"/>
    <w:rsid w:val="33B45F7E"/>
    <w:rsid w:val="33D91F25"/>
    <w:rsid w:val="34104EE2"/>
    <w:rsid w:val="343018AE"/>
    <w:rsid w:val="34324DB1"/>
    <w:rsid w:val="343F692D"/>
    <w:rsid w:val="34411D1D"/>
    <w:rsid w:val="345073E6"/>
    <w:rsid w:val="34866A39"/>
    <w:rsid w:val="348817B1"/>
    <w:rsid w:val="349F4C0E"/>
    <w:rsid w:val="34AF2F51"/>
    <w:rsid w:val="34D42FFA"/>
    <w:rsid w:val="34D92156"/>
    <w:rsid w:val="34DE5317"/>
    <w:rsid w:val="34F442A9"/>
    <w:rsid w:val="3507608E"/>
    <w:rsid w:val="3511441F"/>
    <w:rsid w:val="352E5F4D"/>
    <w:rsid w:val="35301D0A"/>
    <w:rsid w:val="3543266F"/>
    <w:rsid w:val="354632DC"/>
    <w:rsid w:val="358805AB"/>
    <w:rsid w:val="359A34CC"/>
    <w:rsid w:val="35A71D1B"/>
    <w:rsid w:val="35B20971"/>
    <w:rsid w:val="35C031DF"/>
    <w:rsid w:val="35C24D96"/>
    <w:rsid w:val="35D703D8"/>
    <w:rsid w:val="35DE3665"/>
    <w:rsid w:val="35DF02EF"/>
    <w:rsid w:val="35EB1B74"/>
    <w:rsid w:val="36071A43"/>
    <w:rsid w:val="36321AB2"/>
    <w:rsid w:val="366E68DA"/>
    <w:rsid w:val="36737EBE"/>
    <w:rsid w:val="36756265"/>
    <w:rsid w:val="368262AA"/>
    <w:rsid w:val="36B44275"/>
    <w:rsid w:val="36B9188B"/>
    <w:rsid w:val="36E865A3"/>
    <w:rsid w:val="36F05BAE"/>
    <w:rsid w:val="36F71555"/>
    <w:rsid w:val="36F853A7"/>
    <w:rsid w:val="36FC151F"/>
    <w:rsid w:val="371B136A"/>
    <w:rsid w:val="37496F7A"/>
    <w:rsid w:val="374E39C9"/>
    <w:rsid w:val="376D6F23"/>
    <w:rsid w:val="3784354C"/>
    <w:rsid w:val="37876DAD"/>
    <w:rsid w:val="37935876"/>
    <w:rsid w:val="37A814B8"/>
    <w:rsid w:val="37ED6FC5"/>
    <w:rsid w:val="37F84C01"/>
    <w:rsid w:val="37F963E3"/>
    <w:rsid w:val="38037FF5"/>
    <w:rsid w:val="3828112E"/>
    <w:rsid w:val="383E64EC"/>
    <w:rsid w:val="385851E1"/>
    <w:rsid w:val="387F672B"/>
    <w:rsid w:val="3894625F"/>
    <w:rsid w:val="38A02C28"/>
    <w:rsid w:val="38A57162"/>
    <w:rsid w:val="38AA60D6"/>
    <w:rsid w:val="38E8385A"/>
    <w:rsid w:val="38F60882"/>
    <w:rsid w:val="38FC020D"/>
    <w:rsid w:val="39022116"/>
    <w:rsid w:val="39137E32"/>
    <w:rsid w:val="394250FE"/>
    <w:rsid w:val="39451C2E"/>
    <w:rsid w:val="39573D9E"/>
    <w:rsid w:val="39763A64"/>
    <w:rsid w:val="399A7CBE"/>
    <w:rsid w:val="39BA18C5"/>
    <w:rsid w:val="39F27DA1"/>
    <w:rsid w:val="39F32D23"/>
    <w:rsid w:val="3A0B50E0"/>
    <w:rsid w:val="3A1B3A32"/>
    <w:rsid w:val="3A235A71"/>
    <w:rsid w:val="3A3D661B"/>
    <w:rsid w:val="3A4614A9"/>
    <w:rsid w:val="3A4B4A64"/>
    <w:rsid w:val="3A6002EC"/>
    <w:rsid w:val="3A6164C2"/>
    <w:rsid w:val="3A6E018B"/>
    <w:rsid w:val="3A7374AB"/>
    <w:rsid w:val="3A7601BF"/>
    <w:rsid w:val="3AA70B7D"/>
    <w:rsid w:val="3AD71050"/>
    <w:rsid w:val="3AEA41B5"/>
    <w:rsid w:val="3AEF2E86"/>
    <w:rsid w:val="3AF70BD4"/>
    <w:rsid w:val="3B150C3A"/>
    <w:rsid w:val="3B27401A"/>
    <w:rsid w:val="3B27770B"/>
    <w:rsid w:val="3B522666"/>
    <w:rsid w:val="3B605478"/>
    <w:rsid w:val="3B7E311A"/>
    <w:rsid w:val="3B95318F"/>
    <w:rsid w:val="3BA96B71"/>
    <w:rsid w:val="3BD57296"/>
    <w:rsid w:val="3BDE0CCA"/>
    <w:rsid w:val="3BE36841"/>
    <w:rsid w:val="3BF33A92"/>
    <w:rsid w:val="3BFC64A2"/>
    <w:rsid w:val="3C034C82"/>
    <w:rsid w:val="3C29300F"/>
    <w:rsid w:val="3C546447"/>
    <w:rsid w:val="3C5B6745"/>
    <w:rsid w:val="3C8B38E1"/>
    <w:rsid w:val="3CC90E43"/>
    <w:rsid w:val="3CFD37EC"/>
    <w:rsid w:val="3D6574A6"/>
    <w:rsid w:val="3D7D1865"/>
    <w:rsid w:val="3D8C6D07"/>
    <w:rsid w:val="3D9378F2"/>
    <w:rsid w:val="3D9D59AB"/>
    <w:rsid w:val="3DA556B2"/>
    <w:rsid w:val="3DB76351"/>
    <w:rsid w:val="3DC73AA2"/>
    <w:rsid w:val="3DFA2BBE"/>
    <w:rsid w:val="3E0F7557"/>
    <w:rsid w:val="3E1B0B74"/>
    <w:rsid w:val="3E37533F"/>
    <w:rsid w:val="3E3879E2"/>
    <w:rsid w:val="3E5E705F"/>
    <w:rsid w:val="3E6A003B"/>
    <w:rsid w:val="3E6D222C"/>
    <w:rsid w:val="3E907376"/>
    <w:rsid w:val="3EA861DA"/>
    <w:rsid w:val="3EAF165A"/>
    <w:rsid w:val="3F67457A"/>
    <w:rsid w:val="3F782C2D"/>
    <w:rsid w:val="3F87539D"/>
    <w:rsid w:val="3F8D5553"/>
    <w:rsid w:val="3F9E7BA5"/>
    <w:rsid w:val="3FF638FD"/>
    <w:rsid w:val="40154B29"/>
    <w:rsid w:val="4024421A"/>
    <w:rsid w:val="40356427"/>
    <w:rsid w:val="4039566C"/>
    <w:rsid w:val="403F7575"/>
    <w:rsid w:val="40533F5C"/>
    <w:rsid w:val="40775150"/>
    <w:rsid w:val="40803861"/>
    <w:rsid w:val="409370B0"/>
    <w:rsid w:val="40980F08"/>
    <w:rsid w:val="40B14030"/>
    <w:rsid w:val="40C120CD"/>
    <w:rsid w:val="40DA0D7C"/>
    <w:rsid w:val="40E13A86"/>
    <w:rsid w:val="40F869A3"/>
    <w:rsid w:val="41415E9E"/>
    <w:rsid w:val="414867C0"/>
    <w:rsid w:val="414A2F2A"/>
    <w:rsid w:val="41686388"/>
    <w:rsid w:val="416E4E06"/>
    <w:rsid w:val="41892C45"/>
    <w:rsid w:val="419D77EE"/>
    <w:rsid w:val="41A75842"/>
    <w:rsid w:val="41B63597"/>
    <w:rsid w:val="41C62F9F"/>
    <w:rsid w:val="41EF28C8"/>
    <w:rsid w:val="42092064"/>
    <w:rsid w:val="422229DB"/>
    <w:rsid w:val="42552336"/>
    <w:rsid w:val="425E290D"/>
    <w:rsid w:val="427C658F"/>
    <w:rsid w:val="427E4891"/>
    <w:rsid w:val="427F1A20"/>
    <w:rsid w:val="42814AA1"/>
    <w:rsid w:val="429F2D3C"/>
    <w:rsid w:val="42B559FF"/>
    <w:rsid w:val="42C83C9E"/>
    <w:rsid w:val="42CA46A0"/>
    <w:rsid w:val="4310261D"/>
    <w:rsid w:val="43392C9A"/>
    <w:rsid w:val="434652EE"/>
    <w:rsid w:val="4374370A"/>
    <w:rsid w:val="437B05F4"/>
    <w:rsid w:val="438C7FE1"/>
    <w:rsid w:val="43B1111A"/>
    <w:rsid w:val="43D745D9"/>
    <w:rsid w:val="43DE2931"/>
    <w:rsid w:val="43DE6767"/>
    <w:rsid w:val="43E42FB9"/>
    <w:rsid w:val="43E560F1"/>
    <w:rsid w:val="44060F86"/>
    <w:rsid w:val="4406131F"/>
    <w:rsid w:val="44256EDB"/>
    <w:rsid w:val="44360F15"/>
    <w:rsid w:val="44395B7B"/>
    <w:rsid w:val="44586AB2"/>
    <w:rsid w:val="44651EC3"/>
    <w:rsid w:val="4484797D"/>
    <w:rsid w:val="449175A0"/>
    <w:rsid w:val="449D39F5"/>
    <w:rsid w:val="44A377A9"/>
    <w:rsid w:val="44A91191"/>
    <w:rsid w:val="44B71B00"/>
    <w:rsid w:val="44C53AE2"/>
    <w:rsid w:val="450A37AA"/>
    <w:rsid w:val="452138FB"/>
    <w:rsid w:val="454F3145"/>
    <w:rsid w:val="45546485"/>
    <w:rsid w:val="45570552"/>
    <w:rsid w:val="45631DE6"/>
    <w:rsid w:val="456F5A46"/>
    <w:rsid w:val="45852C0D"/>
    <w:rsid w:val="459D3528"/>
    <w:rsid w:val="45A523A1"/>
    <w:rsid w:val="45DD5596"/>
    <w:rsid w:val="45E40FD1"/>
    <w:rsid w:val="460951E5"/>
    <w:rsid w:val="462078FF"/>
    <w:rsid w:val="46367BC0"/>
    <w:rsid w:val="46470C62"/>
    <w:rsid w:val="46941ED9"/>
    <w:rsid w:val="46962EBD"/>
    <w:rsid w:val="46C77B24"/>
    <w:rsid w:val="46CE3131"/>
    <w:rsid w:val="46D01E3A"/>
    <w:rsid w:val="46F76979"/>
    <w:rsid w:val="46F81F5C"/>
    <w:rsid w:val="46FE3A16"/>
    <w:rsid w:val="47095999"/>
    <w:rsid w:val="47164662"/>
    <w:rsid w:val="4723347D"/>
    <w:rsid w:val="47236543"/>
    <w:rsid w:val="47257848"/>
    <w:rsid w:val="473B3050"/>
    <w:rsid w:val="474E4E09"/>
    <w:rsid w:val="474F288B"/>
    <w:rsid w:val="476F0470"/>
    <w:rsid w:val="478234F8"/>
    <w:rsid w:val="47831DE0"/>
    <w:rsid w:val="47A202EC"/>
    <w:rsid w:val="47B727F3"/>
    <w:rsid w:val="47B93A3E"/>
    <w:rsid w:val="47CB606A"/>
    <w:rsid w:val="47E54403"/>
    <w:rsid w:val="47E82E09"/>
    <w:rsid w:val="47F06A54"/>
    <w:rsid w:val="47F77BA0"/>
    <w:rsid w:val="48520700"/>
    <w:rsid w:val="4866616C"/>
    <w:rsid w:val="4867383D"/>
    <w:rsid w:val="486E0728"/>
    <w:rsid w:val="488E0DCA"/>
    <w:rsid w:val="48A36EB3"/>
    <w:rsid w:val="48A8119E"/>
    <w:rsid w:val="48BD0863"/>
    <w:rsid w:val="48DE6819"/>
    <w:rsid w:val="48EB00AD"/>
    <w:rsid w:val="48F30C2D"/>
    <w:rsid w:val="48FE28B9"/>
    <w:rsid w:val="49061A89"/>
    <w:rsid w:val="490F4DEA"/>
    <w:rsid w:val="49316623"/>
    <w:rsid w:val="493B5C19"/>
    <w:rsid w:val="493C0826"/>
    <w:rsid w:val="493E070A"/>
    <w:rsid w:val="494C4797"/>
    <w:rsid w:val="49836455"/>
    <w:rsid w:val="499A554C"/>
    <w:rsid w:val="49AF33A2"/>
    <w:rsid w:val="49B05850"/>
    <w:rsid w:val="49B27E76"/>
    <w:rsid w:val="49BB319A"/>
    <w:rsid w:val="49C35B92"/>
    <w:rsid w:val="49C37D91"/>
    <w:rsid w:val="49E85F88"/>
    <w:rsid w:val="4A224A86"/>
    <w:rsid w:val="4A3835D3"/>
    <w:rsid w:val="4A913C61"/>
    <w:rsid w:val="4A942144"/>
    <w:rsid w:val="4AA41745"/>
    <w:rsid w:val="4ABA06A9"/>
    <w:rsid w:val="4AE14CE5"/>
    <w:rsid w:val="4AF3760A"/>
    <w:rsid w:val="4AF46CEF"/>
    <w:rsid w:val="4B182C41"/>
    <w:rsid w:val="4B2F1727"/>
    <w:rsid w:val="4B555BCF"/>
    <w:rsid w:val="4B7C61E8"/>
    <w:rsid w:val="4B89732B"/>
    <w:rsid w:val="4BBF65B1"/>
    <w:rsid w:val="4BC53274"/>
    <w:rsid w:val="4BC75484"/>
    <w:rsid w:val="4BD60E0F"/>
    <w:rsid w:val="4BDE7186"/>
    <w:rsid w:val="4BF214F2"/>
    <w:rsid w:val="4BFE1C3A"/>
    <w:rsid w:val="4C067046"/>
    <w:rsid w:val="4C127068"/>
    <w:rsid w:val="4C167EC0"/>
    <w:rsid w:val="4C373527"/>
    <w:rsid w:val="4C3E5550"/>
    <w:rsid w:val="4C5835B8"/>
    <w:rsid w:val="4C5C7A55"/>
    <w:rsid w:val="4C806C7C"/>
    <w:rsid w:val="4C8425E4"/>
    <w:rsid w:val="4C843198"/>
    <w:rsid w:val="4C84765C"/>
    <w:rsid w:val="4C8D5335"/>
    <w:rsid w:val="4CB115A3"/>
    <w:rsid w:val="4CE9093D"/>
    <w:rsid w:val="4CF5694E"/>
    <w:rsid w:val="4CF77C53"/>
    <w:rsid w:val="4D8B5F48"/>
    <w:rsid w:val="4D8E46B2"/>
    <w:rsid w:val="4D930C30"/>
    <w:rsid w:val="4D933355"/>
    <w:rsid w:val="4DB04E83"/>
    <w:rsid w:val="4DB561FB"/>
    <w:rsid w:val="4DD4222A"/>
    <w:rsid w:val="4DE72BC1"/>
    <w:rsid w:val="4DE809CF"/>
    <w:rsid w:val="4DFF6993"/>
    <w:rsid w:val="4E086F29"/>
    <w:rsid w:val="4E190932"/>
    <w:rsid w:val="4E1F10C9"/>
    <w:rsid w:val="4E24470E"/>
    <w:rsid w:val="4E3166D6"/>
    <w:rsid w:val="4E607225"/>
    <w:rsid w:val="4EA17C8F"/>
    <w:rsid w:val="4EA33A0D"/>
    <w:rsid w:val="4EA86291"/>
    <w:rsid w:val="4ED86247"/>
    <w:rsid w:val="4EE80403"/>
    <w:rsid w:val="4F1869D4"/>
    <w:rsid w:val="4F1D3C8E"/>
    <w:rsid w:val="4F1E3C95"/>
    <w:rsid w:val="4F2C22E7"/>
    <w:rsid w:val="4F3D0FA0"/>
    <w:rsid w:val="4F487871"/>
    <w:rsid w:val="4F560A37"/>
    <w:rsid w:val="4F602D94"/>
    <w:rsid w:val="4F631692"/>
    <w:rsid w:val="4F692025"/>
    <w:rsid w:val="4F7725B8"/>
    <w:rsid w:val="4F890F7F"/>
    <w:rsid w:val="4FA63CB9"/>
    <w:rsid w:val="4FAA5F43"/>
    <w:rsid w:val="4FB541B4"/>
    <w:rsid w:val="4FD028FF"/>
    <w:rsid w:val="4FD64808"/>
    <w:rsid w:val="501D29FE"/>
    <w:rsid w:val="50324731"/>
    <w:rsid w:val="504D1B60"/>
    <w:rsid w:val="50583ADD"/>
    <w:rsid w:val="50633354"/>
    <w:rsid w:val="50733DC4"/>
    <w:rsid w:val="50863F0E"/>
    <w:rsid w:val="509C58BA"/>
    <w:rsid w:val="509F74AB"/>
    <w:rsid w:val="50B341F7"/>
    <w:rsid w:val="512B7338"/>
    <w:rsid w:val="51311242"/>
    <w:rsid w:val="51575BFE"/>
    <w:rsid w:val="519B6B0A"/>
    <w:rsid w:val="51C365B2"/>
    <w:rsid w:val="51D15C06"/>
    <w:rsid w:val="51E7154B"/>
    <w:rsid w:val="51E754ED"/>
    <w:rsid w:val="51ED2C7A"/>
    <w:rsid w:val="520A30CD"/>
    <w:rsid w:val="5217023B"/>
    <w:rsid w:val="524D2FE5"/>
    <w:rsid w:val="526B51B3"/>
    <w:rsid w:val="526F57C8"/>
    <w:rsid w:val="527346F9"/>
    <w:rsid w:val="52AA302D"/>
    <w:rsid w:val="52F70339"/>
    <w:rsid w:val="533802B0"/>
    <w:rsid w:val="535F39CE"/>
    <w:rsid w:val="5379799F"/>
    <w:rsid w:val="53844015"/>
    <w:rsid w:val="53B547E4"/>
    <w:rsid w:val="53C54A7E"/>
    <w:rsid w:val="53CF48A7"/>
    <w:rsid w:val="53E00F74"/>
    <w:rsid w:val="53ED77E6"/>
    <w:rsid w:val="53F427B9"/>
    <w:rsid w:val="5425212D"/>
    <w:rsid w:val="542F397D"/>
    <w:rsid w:val="54363993"/>
    <w:rsid w:val="545A2356"/>
    <w:rsid w:val="546D471F"/>
    <w:rsid w:val="54DC5F38"/>
    <w:rsid w:val="54DF2FCC"/>
    <w:rsid w:val="550F7A5B"/>
    <w:rsid w:val="5510701F"/>
    <w:rsid w:val="55180399"/>
    <w:rsid w:val="551B75AE"/>
    <w:rsid w:val="55594E94"/>
    <w:rsid w:val="55621614"/>
    <w:rsid w:val="558A1367"/>
    <w:rsid w:val="55933D75"/>
    <w:rsid w:val="5599291F"/>
    <w:rsid w:val="55996042"/>
    <w:rsid w:val="55A07807"/>
    <w:rsid w:val="55BF7DAB"/>
    <w:rsid w:val="55C022BA"/>
    <w:rsid w:val="562A2C1B"/>
    <w:rsid w:val="56474B1D"/>
    <w:rsid w:val="56497633"/>
    <w:rsid w:val="564E1B99"/>
    <w:rsid w:val="56520719"/>
    <w:rsid w:val="56531C0A"/>
    <w:rsid w:val="56A62938"/>
    <w:rsid w:val="56BD475C"/>
    <w:rsid w:val="56C169E5"/>
    <w:rsid w:val="56CB6225"/>
    <w:rsid w:val="56FA7E8B"/>
    <w:rsid w:val="571A31DA"/>
    <w:rsid w:val="571F34FB"/>
    <w:rsid w:val="57283E0B"/>
    <w:rsid w:val="572E3DFB"/>
    <w:rsid w:val="573351B0"/>
    <w:rsid w:val="57390C18"/>
    <w:rsid w:val="57571CBA"/>
    <w:rsid w:val="579D4B86"/>
    <w:rsid w:val="57D07475"/>
    <w:rsid w:val="57D455E1"/>
    <w:rsid w:val="57FB1D20"/>
    <w:rsid w:val="580A59C7"/>
    <w:rsid w:val="580C5867"/>
    <w:rsid w:val="5814296E"/>
    <w:rsid w:val="584274DB"/>
    <w:rsid w:val="584C7F32"/>
    <w:rsid w:val="585D4208"/>
    <w:rsid w:val="58674634"/>
    <w:rsid w:val="58840844"/>
    <w:rsid w:val="588440C7"/>
    <w:rsid w:val="58CC3F96"/>
    <w:rsid w:val="58E70023"/>
    <w:rsid w:val="58EE5CF5"/>
    <w:rsid w:val="5918482C"/>
    <w:rsid w:val="592F4560"/>
    <w:rsid w:val="59417CFE"/>
    <w:rsid w:val="59587923"/>
    <w:rsid w:val="59775899"/>
    <w:rsid w:val="59843C6A"/>
    <w:rsid w:val="59EC5950"/>
    <w:rsid w:val="59F27B21"/>
    <w:rsid w:val="5A18539D"/>
    <w:rsid w:val="5A1A647C"/>
    <w:rsid w:val="5A1B185F"/>
    <w:rsid w:val="5A2C6645"/>
    <w:rsid w:val="5A354648"/>
    <w:rsid w:val="5A394AAB"/>
    <w:rsid w:val="5A557873"/>
    <w:rsid w:val="5A6310DA"/>
    <w:rsid w:val="5A650446"/>
    <w:rsid w:val="5A6E4EEC"/>
    <w:rsid w:val="5A8B6673"/>
    <w:rsid w:val="5A9A023F"/>
    <w:rsid w:val="5ACE6A69"/>
    <w:rsid w:val="5AE45748"/>
    <w:rsid w:val="5AFC0F7F"/>
    <w:rsid w:val="5B5B3870"/>
    <w:rsid w:val="5B607CF8"/>
    <w:rsid w:val="5B730F17"/>
    <w:rsid w:val="5B884084"/>
    <w:rsid w:val="5B887BB7"/>
    <w:rsid w:val="5B8A042A"/>
    <w:rsid w:val="5B900847"/>
    <w:rsid w:val="5BDC50C3"/>
    <w:rsid w:val="5BE34A4E"/>
    <w:rsid w:val="5BEE27B5"/>
    <w:rsid w:val="5BF705DC"/>
    <w:rsid w:val="5C0E1115"/>
    <w:rsid w:val="5C3B0F83"/>
    <w:rsid w:val="5C537F09"/>
    <w:rsid w:val="5C5E2199"/>
    <w:rsid w:val="5C677226"/>
    <w:rsid w:val="5C745223"/>
    <w:rsid w:val="5C8835A3"/>
    <w:rsid w:val="5C8A5083"/>
    <w:rsid w:val="5CB83619"/>
    <w:rsid w:val="5CEA2869"/>
    <w:rsid w:val="5D1D62C3"/>
    <w:rsid w:val="5D281324"/>
    <w:rsid w:val="5D2E7C24"/>
    <w:rsid w:val="5D49561A"/>
    <w:rsid w:val="5D9E2C70"/>
    <w:rsid w:val="5DB858CE"/>
    <w:rsid w:val="5DCF0D76"/>
    <w:rsid w:val="5DDA6435"/>
    <w:rsid w:val="5DDD390F"/>
    <w:rsid w:val="5DE51EC6"/>
    <w:rsid w:val="5DE84146"/>
    <w:rsid w:val="5DFD1BC3"/>
    <w:rsid w:val="5E075446"/>
    <w:rsid w:val="5E356E2D"/>
    <w:rsid w:val="5E3929A4"/>
    <w:rsid w:val="5E415870"/>
    <w:rsid w:val="5E4B3F43"/>
    <w:rsid w:val="5E585426"/>
    <w:rsid w:val="5E5E18DF"/>
    <w:rsid w:val="5E6B3CD4"/>
    <w:rsid w:val="5E72551F"/>
    <w:rsid w:val="5E7D46AF"/>
    <w:rsid w:val="5E810B9A"/>
    <w:rsid w:val="5E8F45A3"/>
    <w:rsid w:val="5E9723F2"/>
    <w:rsid w:val="5EC111CF"/>
    <w:rsid w:val="5F390526"/>
    <w:rsid w:val="5F47185C"/>
    <w:rsid w:val="5F545A7C"/>
    <w:rsid w:val="5F5656B0"/>
    <w:rsid w:val="5F7F34EB"/>
    <w:rsid w:val="5FC842F4"/>
    <w:rsid w:val="5FE252DE"/>
    <w:rsid w:val="5FEA51D8"/>
    <w:rsid w:val="5FF22ABD"/>
    <w:rsid w:val="603154C1"/>
    <w:rsid w:val="605D3104"/>
    <w:rsid w:val="606E70C0"/>
    <w:rsid w:val="607C0FE5"/>
    <w:rsid w:val="607D5554"/>
    <w:rsid w:val="60836ED8"/>
    <w:rsid w:val="60852569"/>
    <w:rsid w:val="609561DC"/>
    <w:rsid w:val="60987B5A"/>
    <w:rsid w:val="60DC6F0C"/>
    <w:rsid w:val="60E320D0"/>
    <w:rsid w:val="60F715A3"/>
    <w:rsid w:val="610E4B69"/>
    <w:rsid w:val="61335628"/>
    <w:rsid w:val="61484B8A"/>
    <w:rsid w:val="61495B2A"/>
    <w:rsid w:val="614F1C31"/>
    <w:rsid w:val="618E3791"/>
    <w:rsid w:val="61954B1F"/>
    <w:rsid w:val="619F2CB5"/>
    <w:rsid w:val="61A56906"/>
    <w:rsid w:val="61B81661"/>
    <w:rsid w:val="61CF0A40"/>
    <w:rsid w:val="61F01D9D"/>
    <w:rsid w:val="61FB33CF"/>
    <w:rsid w:val="622003DE"/>
    <w:rsid w:val="6220088D"/>
    <w:rsid w:val="6237500A"/>
    <w:rsid w:val="62642A4C"/>
    <w:rsid w:val="62680DB7"/>
    <w:rsid w:val="627A35A1"/>
    <w:rsid w:val="62907837"/>
    <w:rsid w:val="62996751"/>
    <w:rsid w:val="62E50DCE"/>
    <w:rsid w:val="62EE098B"/>
    <w:rsid w:val="630A358C"/>
    <w:rsid w:val="632058D7"/>
    <w:rsid w:val="634A0400"/>
    <w:rsid w:val="634D4D27"/>
    <w:rsid w:val="63666773"/>
    <w:rsid w:val="638135AD"/>
    <w:rsid w:val="64212885"/>
    <w:rsid w:val="643364F2"/>
    <w:rsid w:val="64480350"/>
    <w:rsid w:val="645B3DFE"/>
    <w:rsid w:val="645B63B1"/>
    <w:rsid w:val="646F08D5"/>
    <w:rsid w:val="647749B0"/>
    <w:rsid w:val="64942E6C"/>
    <w:rsid w:val="64A66831"/>
    <w:rsid w:val="64AC4EB7"/>
    <w:rsid w:val="64AC6408"/>
    <w:rsid w:val="64B5050C"/>
    <w:rsid w:val="64F64031"/>
    <w:rsid w:val="651061B6"/>
    <w:rsid w:val="653C05D5"/>
    <w:rsid w:val="65580EF3"/>
    <w:rsid w:val="655D6EB5"/>
    <w:rsid w:val="6560355A"/>
    <w:rsid w:val="656256ED"/>
    <w:rsid w:val="659D27E5"/>
    <w:rsid w:val="65A044CA"/>
    <w:rsid w:val="65AD6914"/>
    <w:rsid w:val="65E329B5"/>
    <w:rsid w:val="65FC2771"/>
    <w:rsid w:val="66012783"/>
    <w:rsid w:val="66127C81"/>
    <w:rsid w:val="66336D55"/>
    <w:rsid w:val="66344D3E"/>
    <w:rsid w:val="665C267F"/>
    <w:rsid w:val="66624588"/>
    <w:rsid w:val="66A01E6F"/>
    <w:rsid w:val="66A22C57"/>
    <w:rsid w:val="66C83F2C"/>
    <w:rsid w:val="66EC2F44"/>
    <w:rsid w:val="6701538B"/>
    <w:rsid w:val="67110EA9"/>
    <w:rsid w:val="67387A63"/>
    <w:rsid w:val="67650AF0"/>
    <w:rsid w:val="676818B7"/>
    <w:rsid w:val="678F02D7"/>
    <w:rsid w:val="67A07D7A"/>
    <w:rsid w:val="67B36C0C"/>
    <w:rsid w:val="67D15A64"/>
    <w:rsid w:val="67F01298"/>
    <w:rsid w:val="67FB08EB"/>
    <w:rsid w:val="67FB3025"/>
    <w:rsid w:val="67FC3E1A"/>
    <w:rsid w:val="68017E89"/>
    <w:rsid w:val="68112FCA"/>
    <w:rsid w:val="68195E58"/>
    <w:rsid w:val="68242759"/>
    <w:rsid w:val="683E3E9A"/>
    <w:rsid w:val="686A7F84"/>
    <w:rsid w:val="687B1001"/>
    <w:rsid w:val="68C301C4"/>
    <w:rsid w:val="68DA0494"/>
    <w:rsid w:val="68E258A1"/>
    <w:rsid w:val="68E542A7"/>
    <w:rsid w:val="68FA376A"/>
    <w:rsid w:val="6925180D"/>
    <w:rsid w:val="692C4A1B"/>
    <w:rsid w:val="69367529"/>
    <w:rsid w:val="693D6EB4"/>
    <w:rsid w:val="695232F6"/>
    <w:rsid w:val="69811A86"/>
    <w:rsid w:val="6983762F"/>
    <w:rsid w:val="69A955F8"/>
    <w:rsid w:val="69B61E25"/>
    <w:rsid w:val="69BB191B"/>
    <w:rsid w:val="69DF7D42"/>
    <w:rsid w:val="69E441CA"/>
    <w:rsid w:val="6A19339F"/>
    <w:rsid w:val="6A1A0E21"/>
    <w:rsid w:val="6A2677F7"/>
    <w:rsid w:val="6A386DCC"/>
    <w:rsid w:val="6A68311E"/>
    <w:rsid w:val="6A6F0AC9"/>
    <w:rsid w:val="6A703DAE"/>
    <w:rsid w:val="6A7D6CAF"/>
    <w:rsid w:val="6A8739D3"/>
    <w:rsid w:val="6A9042E2"/>
    <w:rsid w:val="6A973C6D"/>
    <w:rsid w:val="6AB853DB"/>
    <w:rsid w:val="6AC31153"/>
    <w:rsid w:val="6ADE2DD8"/>
    <w:rsid w:val="6AFA3FDD"/>
    <w:rsid w:val="6B1846A8"/>
    <w:rsid w:val="6B1C3093"/>
    <w:rsid w:val="6B3320C3"/>
    <w:rsid w:val="6B344DF0"/>
    <w:rsid w:val="6B3A3476"/>
    <w:rsid w:val="6B4F341C"/>
    <w:rsid w:val="6B6D0974"/>
    <w:rsid w:val="6B726E54"/>
    <w:rsid w:val="6B7A2B99"/>
    <w:rsid w:val="6BA72B78"/>
    <w:rsid w:val="6BBA67F4"/>
    <w:rsid w:val="6BD63A05"/>
    <w:rsid w:val="6BDA0E02"/>
    <w:rsid w:val="6BDB0A81"/>
    <w:rsid w:val="6BDD1D01"/>
    <w:rsid w:val="6BEA091C"/>
    <w:rsid w:val="6C1B622C"/>
    <w:rsid w:val="6C2446F9"/>
    <w:rsid w:val="6C316D02"/>
    <w:rsid w:val="6C321490"/>
    <w:rsid w:val="6C321699"/>
    <w:rsid w:val="6C336F12"/>
    <w:rsid w:val="6C3B4144"/>
    <w:rsid w:val="6C53478A"/>
    <w:rsid w:val="6C670C97"/>
    <w:rsid w:val="6C693B68"/>
    <w:rsid w:val="6C796D9F"/>
    <w:rsid w:val="6C8A7920"/>
    <w:rsid w:val="6C953733"/>
    <w:rsid w:val="6CA639CD"/>
    <w:rsid w:val="6CA9147F"/>
    <w:rsid w:val="6CAF42DD"/>
    <w:rsid w:val="6CAF621C"/>
    <w:rsid w:val="6CB807AD"/>
    <w:rsid w:val="6CCB618B"/>
    <w:rsid w:val="6CE547B7"/>
    <w:rsid w:val="6D056989"/>
    <w:rsid w:val="6D1C7EA3"/>
    <w:rsid w:val="6D205895"/>
    <w:rsid w:val="6D216B9A"/>
    <w:rsid w:val="6D4312CD"/>
    <w:rsid w:val="6D5B21F7"/>
    <w:rsid w:val="6D85303B"/>
    <w:rsid w:val="6DAB327B"/>
    <w:rsid w:val="6DD2313B"/>
    <w:rsid w:val="6DE63B74"/>
    <w:rsid w:val="6DFA0C7A"/>
    <w:rsid w:val="6DFA2445"/>
    <w:rsid w:val="6DFC1022"/>
    <w:rsid w:val="6E1A7569"/>
    <w:rsid w:val="6E2B704C"/>
    <w:rsid w:val="6E4E22DE"/>
    <w:rsid w:val="6E7946DB"/>
    <w:rsid w:val="6E803BE8"/>
    <w:rsid w:val="6E896C38"/>
    <w:rsid w:val="6E8A28E9"/>
    <w:rsid w:val="6EA41295"/>
    <w:rsid w:val="6EA43493"/>
    <w:rsid w:val="6EA43AB0"/>
    <w:rsid w:val="6EB84E89"/>
    <w:rsid w:val="6ECE341F"/>
    <w:rsid w:val="6F2A51A0"/>
    <w:rsid w:val="6F615376"/>
    <w:rsid w:val="6F786CEE"/>
    <w:rsid w:val="6F8C3791"/>
    <w:rsid w:val="6FE55C0C"/>
    <w:rsid w:val="700147E0"/>
    <w:rsid w:val="700167C8"/>
    <w:rsid w:val="7012146B"/>
    <w:rsid w:val="701838C5"/>
    <w:rsid w:val="702835CB"/>
    <w:rsid w:val="704B4AC8"/>
    <w:rsid w:val="705E6B19"/>
    <w:rsid w:val="70613C5D"/>
    <w:rsid w:val="70666977"/>
    <w:rsid w:val="70792114"/>
    <w:rsid w:val="70810925"/>
    <w:rsid w:val="7086142A"/>
    <w:rsid w:val="70A17A56"/>
    <w:rsid w:val="70D85E2C"/>
    <w:rsid w:val="70E33D42"/>
    <w:rsid w:val="71041CF8"/>
    <w:rsid w:val="71211CA2"/>
    <w:rsid w:val="71270FB3"/>
    <w:rsid w:val="71351C2D"/>
    <w:rsid w:val="715F1572"/>
    <w:rsid w:val="71823031"/>
    <w:rsid w:val="7185134D"/>
    <w:rsid w:val="718C304E"/>
    <w:rsid w:val="718F49FD"/>
    <w:rsid w:val="71AB378B"/>
    <w:rsid w:val="71B316DD"/>
    <w:rsid w:val="71CB25AA"/>
    <w:rsid w:val="71D83356"/>
    <w:rsid w:val="71F35EB5"/>
    <w:rsid w:val="720C4C93"/>
    <w:rsid w:val="72131EB6"/>
    <w:rsid w:val="72216C4D"/>
    <w:rsid w:val="72361171"/>
    <w:rsid w:val="725047DE"/>
    <w:rsid w:val="72712474"/>
    <w:rsid w:val="72766AE8"/>
    <w:rsid w:val="727950DD"/>
    <w:rsid w:val="72912784"/>
    <w:rsid w:val="72AC0DAF"/>
    <w:rsid w:val="72BB3CBA"/>
    <w:rsid w:val="72BD6ACB"/>
    <w:rsid w:val="72C154D1"/>
    <w:rsid w:val="72C33CEF"/>
    <w:rsid w:val="72C62D8B"/>
    <w:rsid w:val="72DC3AFD"/>
    <w:rsid w:val="730D7B4F"/>
    <w:rsid w:val="730F0E54"/>
    <w:rsid w:val="732706F9"/>
    <w:rsid w:val="73454032"/>
    <w:rsid w:val="73522870"/>
    <w:rsid w:val="736600CA"/>
    <w:rsid w:val="73941263"/>
    <w:rsid w:val="73D064B1"/>
    <w:rsid w:val="73D36613"/>
    <w:rsid w:val="73FB6A64"/>
    <w:rsid w:val="74232316"/>
    <w:rsid w:val="744818D1"/>
    <w:rsid w:val="748922C2"/>
    <w:rsid w:val="74974023"/>
    <w:rsid w:val="74A05D67"/>
    <w:rsid w:val="74C47221"/>
    <w:rsid w:val="74EF5AE6"/>
    <w:rsid w:val="74F769B5"/>
    <w:rsid w:val="75596138"/>
    <w:rsid w:val="755B649A"/>
    <w:rsid w:val="75787FC9"/>
    <w:rsid w:val="757C3BD5"/>
    <w:rsid w:val="758827E2"/>
    <w:rsid w:val="759365F4"/>
    <w:rsid w:val="75A51ECF"/>
    <w:rsid w:val="75A90798"/>
    <w:rsid w:val="75AB270C"/>
    <w:rsid w:val="75B545AA"/>
    <w:rsid w:val="75C73909"/>
    <w:rsid w:val="75EB6C83"/>
    <w:rsid w:val="75F70817"/>
    <w:rsid w:val="763C747E"/>
    <w:rsid w:val="765863F0"/>
    <w:rsid w:val="765A6015"/>
    <w:rsid w:val="765C1C80"/>
    <w:rsid w:val="7661233B"/>
    <w:rsid w:val="76665F34"/>
    <w:rsid w:val="7685754C"/>
    <w:rsid w:val="76924949"/>
    <w:rsid w:val="76A46917"/>
    <w:rsid w:val="76C83964"/>
    <w:rsid w:val="76C96D94"/>
    <w:rsid w:val="76D12653"/>
    <w:rsid w:val="76D45934"/>
    <w:rsid w:val="76E840FC"/>
    <w:rsid w:val="76EB32F5"/>
    <w:rsid w:val="76FE3503"/>
    <w:rsid w:val="77073972"/>
    <w:rsid w:val="771459A6"/>
    <w:rsid w:val="772A2051"/>
    <w:rsid w:val="77607E69"/>
    <w:rsid w:val="77715B85"/>
    <w:rsid w:val="77767741"/>
    <w:rsid w:val="777C610E"/>
    <w:rsid w:val="777D3B96"/>
    <w:rsid w:val="77A41857"/>
    <w:rsid w:val="77BF424C"/>
    <w:rsid w:val="77C96214"/>
    <w:rsid w:val="77DF1E38"/>
    <w:rsid w:val="77DF61B9"/>
    <w:rsid w:val="77E13D59"/>
    <w:rsid w:val="78085536"/>
    <w:rsid w:val="783F076E"/>
    <w:rsid w:val="785E6707"/>
    <w:rsid w:val="786A5D9D"/>
    <w:rsid w:val="78746F41"/>
    <w:rsid w:val="787C3E98"/>
    <w:rsid w:val="789B4F81"/>
    <w:rsid w:val="789D2ED2"/>
    <w:rsid w:val="78C6021B"/>
    <w:rsid w:val="78D53773"/>
    <w:rsid w:val="78E950F0"/>
    <w:rsid w:val="78EA354B"/>
    <w:rsid w:val="791A372E"/>
    <w:rsid w:val="791B013F"/>
    <w:rsid w:val="791D69FF"/>
    <w:rsid w:val="792E135E"/>
    <w:rsid w:val="794B7CCC"/>
    <w:rsid w:val="795B7FA5"/>
    <w:rsid w:val="79612E69"/>
    <w:rsid w:val="797C365C"/>
    <w:rsid w:val="798F00FE"/>
    <w:rsid w:val="79AD1484"/>
    <w:rsid w:val="79DF58FF"/>
    <w:rsid w:val="79EF399B"/>
    <w:rsid w:val="79F42021"/>
    <w:rsid w:val="79FB5AE0"/>
    <w:rsid w:val="7A092E01"/>
    <w:rsid w:val="7A195E96"/>
    <w:rsid w:val="7A4B626B"/>
    <w:rsid w:val="7A567350"/>
    <w:rsid w:val="7A641081"/>
    <w:rsid w:val="7A8D0477"/>
    <w:rsid w:val="7A905722"/>
    <w:rsid w:val="7A9E4A38"/>
    <w:rsid w:val="7AAE27F4"/>
    <w:rsid w:val="7ABD0F17"/>
    <w:rsid w:val="7AC00390"/>
    <w:rsid w:val="7ACD1D04"/>
    <w:rsid w:val="7AD75E97"/>
    <w:rsid w:val="7ADB231E"/>
    <w:rsid w:val="7AEC7106"/>
    <w:rsid w:val="7AF379C5"/>
    <w:rsid w:val="7AF71029"/>
    <w:rsid w:val="7B0025AE"/>
    <w:rsid w:val="7B0F1874"/>
    <w:rsid w:val="7B13027A"/>
    <w:rsid w:val="7B186900"/>
    <w:rsid w:val="7B207590"/>
    <w:rsid w:val="7B273A10"/>
    <w:rsid w:val="7B2B5921"/>
    <w:rsid w:val="7B2C39A7"/>
    <w:rsid w:val="7B451FAC"/>
    <w:rsid w:val="7B4F4CA9"/>
    <w:rsid w:val="7B5D73F5"/>
    <w:rsid w:val="7B615DFB"/>
    <w:rsid w:val="7B6A2721"/>
    <w:rsid w:val="7B723B17"/>
    <w:rsid w:val="7B9562D3"/>
    <w:rsid w:val="7BA97F26"/>
    <w:rsid w:val="7BDC1EC1"/>
    <w:rsid w:val="7BDD144D"/>
    <w:rsid w:val="7BE75B20"/>
    <w:rsid w:val="7BE86FD9"/>
    <w:rsid w:val="7BEB7F5D"/>
    <w:rsid w:val="7C06244A"/>
    <w:rsid w:val="7C312C50"/>
    <w:rsid w:val="7C3456F4"/>
    <w:rsid w:val="7C3945CD"/>
    <w:rsid w:val="7C475526"/>
    <w:rsid w:val="7C581E04"/>
    <w:rsid w:val="7C594C70"/>
    <w:rsid w:val="7C6A2A2A"/>
    <w:rsid w:val="7C6C668B"/>
    <w:rsid w:val="7C715C38"/>
    <w:rsid w:val="7C7F737F"/>
    <w:rsid w:val="7C947033"/>
    <w:rsid w:val="7CA5738C"/>
    <w:rsid w:val="7CC46939"/>
    <w:rsid w:val="7D073BAD"/>
    <w:rsid w:val="7D115DE1"/>
    <w:rsid w:val="7D3A2409"/>
    <w:rsid w:val="7D5207A9"/>
    <w:rsid w:val="7D647E4E"/>
    <w:rsid w:val="7D857221"/>
    <w:rsid w:val="7D91151E"/>
    <w:rsid w:val="7D93677B"/>
    <w:rsid w:val="7D9E6463"/>
    <w:rsid w:val="7DAF7BC0"/>
    <w:rsid w:val="7DB85FB8"/>
    <w:rsid w:val="7DDD7A8F"/>
    <w:rsid w:val="7DE22616"/>
    <w:rsid w:val="7DE440B0"/>
    <w:rsid w:val="7E1772DE"/>
    <w:rsid w:val="7E194CEF"/>
    <w:rsid w:val="7E436010"/>
    <w:rsid w:val="7E4F7053"/>
    <w:rsid w:val="7E65736C"/>
    <w:rsid w:val="7E684A6E"/>
    <w:rsid w:val="7E6E2065"/>
    <w:rsid w:val="7E7220CC"/>
    <w:rsid w:val="7E793A93"/>
    <w:rsid w:val="7EBB22FA"/>
    <w:rsid w:val="7EFD4068"/>
    <w:rsid w:val="7F0810F9"/>
    <w:rsid w:val="7F2870AA"/>
    <w:rsid w:val="7F2F5FE4"/>
    <w:rsid w:val="7F2F6DE1"/>
    <w:rsid w:val="7F35093E"/>
    <w:rsid w:val="7F912972"/>
    <w:rsid w:val="7FD4460D"/>
    <w:rsid w:val="7FDA2751"/>
    <w:rsid w:val="7FE97077"/>
    <w:rsid w:val="7FFA7F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lang w:val="zh-CN"/>
    </w:rPr>
  </w:style>
  <w:style w:type="paragraph" w:styleId="4">
    <w:name w:val="heading 3"/>
    <w:basedOn w:val="1"/>
    <w:next w:val="1"/>
    <w:qFormat/>
    <w:uiPriority w:val="0"/>
    <w:pPr>
      <w:keepNext/>
      <w:keepLines/>
      <w:spacing w:before="260" w:after="260" w:line="416" w:lineRule="auto"/>
      <w:outlineLvl w:val="2"/>
    </w:pPr>
    <w:rPr>
      <w:b/>
      <w:bCs/>
      <w:sz w:val="32"/>
      <w:szCs w:val="32"/>
      <w:lang w:val="zh-CN"/>
    </w:rPr>
  </w:style>
  <w:style w:type="paragraph" w:styleId="5">
    <w:name w:val="heading 4"/>
    <w:basedOn w:val="1"/>
    <w:next w:val="1"/>
    <w:unhideWhenUsed/>
    <w:qFormat/>
    <w:uiPriority w:val="0"/>
    <w:pPr>
      <w:keepNext/>
      <w:keepLines/>
      <w:numPr>
        <w:ilvl w:val="0"/>
        <w:numId w:val="1"/>
      </w:numPr>
      <w:spacing w:before="280" w:after="290" w:line="372" w:lineRule="auto"/>
      <w:outlineLvl w:val="3"/>
    </w:pPr>
    <w:rPr>
      <w:rFonts w:ascii="Arial" w:hAnsi="Arial" w:eastAsia="黑体"/>
      <w:b/>
      <w:sz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Normal Indent"/>
    <w:unhideWhenUsed/>
    <w:qFormat/>
    <w:uiPriority w:val="99"/>
    <w:pPr>
      <w:spacing w:after="200" w:line="276" w:lineRule="auto"/>
      <w:ind w:left="720"/>
    </w:pPr>
    <w:rPr>
      <w:rFonts w:ascii="Calibri" w:hAnsi="Calibri" w:eastAsia="Calibri" w:cs="Times New Roman"/>
      <w:sz w:val="22"/>
      <w:szCs w:val="22"/>
      <w:lang w:val="en-US" w:eastAsia="en-US" w:bidi="ar-SA"/>
    </w:rPr>
  </w:style>
  <w:style w:type="paragraph" w:styleId="6">
    <w:name w:val="annotation text"/>
    <w:basedOn w:val="1"/>
    <w:link w:val="34"/>
    <w:semiHidden/>
    <w:unhideWhenUsed/>
    <w:qFormat/>
    <w:uiPriority w:val="99"/>
    <w:pPr>
      <w:jc w:val="left"/>
    </w:pPr>
  </w:style>
  <w:style w:type="paragraph" w:styleId="7">
    <w:name w:val="Body Text"/>
    <w:basedOn w:val="1"/>
    <w:link w:val="30"/>
    <w:qFormat/>
    <w:uiPriority w:val="0"/>
    <w:rPr>
      <w:rFonts w:ascii="仿宋_GB2312" w:eastAsia="仿宋_GB2312"/>
      <w:sz w:val="32"/>
    </w:rPr>
  </w:style>
  <w:style w:type="paragraph" w:styleId="8">
    <w:name w:val="Body Text Indent"/>
    <w:basedOn w:val="1"/>
    <w:link w:val="31"/>
    <w:qFormat/>
    <w:uiPriority w:val="0"/>
    <w:pPr>
      <w:spacing w:after="120"/>
      <w:ind w:left="420" w:leftChars="200"/>
    </w:pPr>
  </w:style>
  <w:style w:type="paragraph" w:styleId="9">
    <w:name w:val="toc 3"/>
    <w:basedOn w:val="1"/>
    <w:next w:val="1"/>
    <w:semiHidden/>
    <w:unhideWhenUsed/>
    <w:qFormat/>
    <w:uiPriority w:val="39"/>
    <w:pPr>
      <w:ind w:left="840" w:leftChars="400"/>
    </w:pPr>
  </w:style>
  <w:style w:type="paragraph" w:styleId="10">
    <w:name w:val="Plain Text"/>
    <w:basedOn w:val="1"/>
    <w:link w:val="28"/>
    <w:qFormat/>
    <w:uiPriority w:val="0"/>
    <w:rPr>
      <w:rFonts w:ascii="宋体" w:hAnsi="Courier New" w:cstheme="minorBidi"/>
      <w:szCs w:val="22"/>
    </w:rPr>
  </w:style>
  <w:style w:type="paragraph" w:styleId="11">
    <w:name w:val="Date"/>
    <w:basedOn w:val="1"/>
    <w:next w:val="1"/>
    <w:link w:val="29"/>
    <w:unhideWhenUsed/>
    <w:qFormat/>
    <w:uiPriority w:val="0"/>
    <w:pPr>
      <w:ind w:left="100" w:leftChars="2500"/>
    </w:pPr>
  </w:style>
  <w:style w:type="paragraph" w:styleId="12">
    <w:name w:val="Balloon Text"/>
    <w:basedOn w:val="1"/>
    <w:link w:val="33"/>
    <w:semiHidden/>
    <w:unhideWhenUsed/>
    <w:qFormat/>
    <w:uiPriority w:val="99"/>
    <w:rPr>
      <w:sz w:val="18"/>
      <w:szCs w:val="18"/>
    </w:rPr>
  </w:style>
  <w:style w:type="paragraph" w:styleId="13">
    <w:name w:val="footer"/>
    <w:basedOn w:val="1"/>
    <w:link w:val="27"/>
    <w:unhideWhenUsed/>
    <w:qFormat/>
    <w:uiPriority w:val="99"/>
    <w:pPr>
      <w:tabs>
        <w:tab w:val="center" w:pos="4153"/>
        <w:tab w:val="right" w:pos="8306"/>
      </w:tabs>
      <w:snapToGrid w:val="0"/>
      <w:jc w:val="left"/>
    </w:pPr>
    <w:rPr>
      <w:sz w:val="18"/>
      <w:szCs w:val="18"/>
    </w:rPr>
  </w:style>
  <w:style w:type="paragraph" w:styleId="14">
    <w:name w:val="header"/>
    <w:basedOn w:val="1"/>
    <w:link w:val="2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toc 1"/>
    <w:basedOn w:val="1"/>
    <w:next w:val="1"/>
    <w:semiHidden/>
    <w:unhideWhenUsed/>
    <w:qFormat/>
    <w:uiPriority w:val="39"/>
  </w:style>
  <w:style w:type="paragraph" w:styleId="16">
    <w:name w:val="List"/>
    <w:basedOn w:val="1"/>
    <w:qFormat/>
    <w:uiPriority w:val="0"/>
    <w:pPr>
      <w:ind w:left="200" w:hanging="200" w:hangingChars="200"/>
    </w:pPr>
    <w:rPr>
      <w:szCs w:val="21"/>
    </w:rPr>
  </w:style>
  <w:style w:type="paragraph" w:styleId="17">
    <w:name w:val="toc 2"/>
    <w:basedOn w:val="1"/>
    <w:next w:val="1"/>
    <w:semiHidden/>
    <w:unhideWhenUsed/>
    <w:qFormat/>
    <w:uiPriority w:val="39"/>
    <w:pPr>
      <w:ind w:left="420" w:leftChars="200"/>
    </w:pPr>
  </w:style>
  <w:style w:type="paragraph" w:styleId="18">
    <w:name w:val="Normal (Web)"/>
    <w:basedOn w:val="1"/>
    <w:semiHidden/>
    <w:unhideWhenUsed/>
    <w:qFormat/>
    <w:uiPriority w:val="99"/>
    <w:rPr>
      <w:sz w:val="24"/>
    </w:rPr>
  </w:style>
  <w:style w:type="paragraph" w:styleId="19">
    <w:name w:val="annotation subject"/>
    <w:basedOn w:val="6"/>
    <w:next w:val="6"/>
    <w:link w:val="35"/>
    <w:semiHidden/>
    <w:unhideWhenUsed/>
    <w:qFormat/>
    <w:uiPriority w:val="99"/>
    <w:rPr>
      <w:b/>
      <w:bCs/>
    </w:rPr>
  </w:style>
  <w:style w:type="table" w:styleId="21">
    <w:name w:val="Table Grid"/>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22"/>
    <w:rPr>
      <w:b/>
    </w:rPr>
  </w:style>
  <w:style w:type="character" w:styleId="24">
    <w:name w:val="Hyperlink"/>
    <w:basedOn w:val="22"/>
    <w:unhideWhenUsed/>
    <w:qFormat/>
    <w:uiPriority w:val="99"/>
    <w:rPr>
      <w:color w:val="0563C1" w:themeColor="hyperlink"/>
      <w:u w:val="single"/>
      <w14:textFill>
        <w14:solidFill>
          <w14:schemeClr w14:val="hlink"/>
        </w14:solidFill>
      </w14:textFill>
    </w:rPr>
  </w:style>
  <w:style w:type="character" w:styleId="25">
    <w:name w:val="annotation reference"/>
    <w:basedOn w:val="22"/>
    <w:semiHidden/>
    <w:unhideWhenUsed/>
    <w:qFormat/>
    <w:uiPriority w:val="99"/>
    <w:rPr>
      <w:sz w:val="21"/>
      <w:szCs w:val="21"/>
    </w:rPr>
  </w:style>
  <w:style w:type="character" w:customStyle="1" w:styleId="26">
    <w:name w:val="页眉 字符"/>
    <w:basedOn w:val="22"/>
    <w:link w:val="14"/>
    <w:qFormat/>
    <w:uiPriority w:val="99"/>
    <w:rPr>
      <w:sz w:val="18"/>
      <w:szCs w:val="18"/>
    </w:rPr>
  </w:style>
  <w:style w:type="character" w:customStyle="1" w:styleId="27">
    <w:name w:val="页脚 字符"/>
    <w:basedOn w:val="22"/>
    <w:link w:val="13"/>
    <w:qFormat/>
    <w:uiPriority w:val="99"/>
    <w:rPr>
      <w:sz w:val="18"/>
      <w:szCs w:val="18"/>
    </w:rPr>
  </w:style>
  <w:style w:type="character" w:customStyle="1" w:styleId="28">
    <w:name w:val="纯文本 字符"/>
    <w:basedOn w:val="22"/>
    <w:link w:val="10"/>
    <w:qFormat/>
    <w:uiPriority w:val="0"/>
    <w:rPr>
      <w:rFonts w:ascii="宋体" w:hAnsi="Courier New" w:eastAsia="宋体"/>
    </w:rPr>
  </w:style>
  <w:style w:type="character" w:customStyle="1" w:styleId="29">
    <w:name w:val="日期 字符"/>
    <w:basedOn w:val="22"/>
    <w:link w:val="11"/>
    <w:qFormat/>
    <w:uiPriority w:val="99"/>
    <w:rPr>
      <w:rFonts w:ascii="Times New Roman" w:hAnsi="Times New Roman" w:eastAsia="宋体" w:cs="Times New Roman"/>
      <w:szCs w:val="20"/>
    </w:rPr>
  </w:style>
  <w:style w:type="character" w:customStyle="1" w:styleId="30">
    <w:name w:val="正文文本 字符"/>
    <w:basedOn w:val="22"/>
    <w:link w:val="7"/>
    <w:qFormat/>
    <w:uiPriority w:val="0"/>
    <w:rPr>
      <w:rFonts w:ascii="仿宋_GB2312" w:hAnsi="Times New Roman" w:eastAsia="仿宋_GB2312" w:cs="Times New Roman"/>
      <w:sz w:val="32"/>
      <w:szCs w:val="20"/>
    </w:rPr>
  </w:style>
  <w:style w:type="character" w:customStyle="1" w:styleId="31">
    <w:name w:val="正文文本缩进 字符"/>
    <w:basedOn w:val="22"/>
    <w:link w:val="8"/>
    <w:qFormat/>
    <w:uiPriority w:val="0"/>
    <w:rPr>
      <w:rFonts w:ascii="Times New Roman" w:hAnsi="Times New Roman" w:eastAsia="宋体" w:cs="Times New Roman"/>
      <w:szCs w:val="20"/>
    </w:rPr>
  </w:style>
  <w:style w:type="character" w:customStyle="1" w:styleId="32">
    <w:name w:val="未处理的提及1"/>
    <w:basedOn w:val="22"/>
    <w:semiHidden/>
    <w:unhideWhenUsed/>
    <w:qFormat/>
    <w:uiPriority w:val="99"/>
    <w:rPr>
      <w:color w:val="605E5C"/>
      <w:shd w:val="clear" w:color="auto" w:fill="E1DFDD"/>
    </w:rPr>
  </w:style>
  <w:style w:type="character" w:customStyle="1" w:styleId="33">
    <w:name w:val="批注框文本 字符"/>
    <w:basedOn w:val="22"/>
    <w:link w:val="12"/>
    <w:semiHidden/>
    <w:qFormat/>
    <w:uiPriority w:val="99"/>
    <w:rPr>
      <w:rFonts w:ascii="Times New Roman" w:hAnsi="Times New Roman" w:eastAsia="宋体" w:cs="Times New Roman"/>
      <w:sz w:val="18"/>
      <w:szCs w:val="18"/>
    </w:rPr>
  </w:style>
  <w:style w:type="character" w:customStyle="1" w:styleId="34">
    <w:name w:val="批注文字 字符"/>
    <w:basedOn w:val="22"/>
    <w:link w:val="6"/>
    <w:semiHidden/>
    <w:qFormat/>
    <w:uiPriority w:val="99"/>
    <w:rPr>
      <w:rFonts w:ascii="Times New Roman" w:hAnsi="Times New Roman" w:eastAsia="宋体" w:cs="Times New Roman"/>
      <w:szCs w:val="20"/>
    </w:rPr>
  </w:style>
  <w:style w:type="character" w:customStyle="1" w:styleId="35">
    <w:name w:val="批注主题 字符"/>
    <w:basedOn w:val="34"/>
    <w:link w:val="19"/>
    <w:semiHidden/>
    <w:qFormat/>
    <w:uiPriority w:val="99"/>
    <w:rPr>
      <w:rFonts w:ascii="Times New Roman" w:hAnsi="Times New Roman" w:eastAsia="宋体" w:cs="Times New Roman"/>
      <w:b/>
      <w:bCs/>
      <w:szCs w:val="20"/>
    </w:rPr>
  </w:style>
  <w:style w:type="paragraph" w:customStyle="1" w:styleId="36">
    <w:name w:val="修订1"/>
    <w:hidden/>
    <w:semiHidden/>
    <w:qFormat/>
    <w:uiPriority w:val="99"/>
    <w:rPr>
      <w:rFonts w:ascii="Times New Roman" w:hAnsi="Times New Roman" w:eastAsia="宋体" w:cs="Times New Roman"/>
      <w:kern w:val="2"/>
      <w:sz w:val="21"/>
      <w:lang w:val="en-US" w:eastAsia="zh-CN" w:bidi="ar-SA"/>
    </w:rPr>
  </w:style>
  <w:style w:type="character" w:customStyle="1" w:styleId="37">
    <w:name w:val="未处理的提及2"/>
    <w:basedOn w:val="22"/>
    <w:semiHidden/>
    <w:unhideWhenUsed/>
    <w:qFormat/>
    <w:uiPriority w:val="99"/>
    <w:rPr>
      <w:color w:val="605E5C"/>
      <w:shd w:val="clear" w:color="auto" w:fill="E1DFDD"/>
    </w:rPr>
  </w:style>
  <w:style w:type="paragraph" w:customStyle="1" w:styleId="38">
    <w:name w:val="修订2"/>
    <w:hidden/>
    <w:semiHidden/>
    <w:qFormat/>
    <w:uiPriority w:val="99"/>
    <w:rPr>
      <w:rFonts w:ascii="Times New Roman" w:hAnsi="Times New Roman" w:eastAsia="宋体" w:cs="Times New Roman"/>
      <w:kern w:val="2"/>
      <w:sz w:val="21"/>
      <w:lang w:val="en-US" w:eastAsia="zh-CN" w:bidi="ar-SA"/>
    </w:rPr>
  </w:style>
  <w:style w:type="paragraph" w:customStyle="1" w:styleId="39">
    <w:name w:val="标三级标题"/>
    <w:basedOn w:val="40"/>
    <w:qFormat/>
    <w:uiPriority w:val="0"/>
  </w:style>
  <w:style w:type="paragraph" w:customStyle="1" w:styleId="40">
    <w:name w:val="标书三级标题"/>
    <w:basedOn w:val="4"/>
    <w:next w:val="41"/>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paragraph" w:customStyle="1" w:styleId="41">
    <w:name w:val="标书正文格式"/>
    <w:basedOn w:val="10"/>
    <w:qFormat/>
    <w:uiPriority w:val="0"/>
    <w:pPr>
      <w:spacing w:line="360" w:lineRule="auto"/>
      <w:ind w:firstLine="200" w:firstLineChars="200"/>
    </w:pPr>
    <w:rPr>
      <w:rFonts w:hAnsi="宋体" w:eastAsiaTheme="minorEastAsia"/>
      <w:color w:val="000000"/>
      <w:sz w:val="24"/>
      <w:szCs w:val="24"/>
    </w:rPr>
  </w:style>
  <w:style w:type="paragraph" w:customStyle="1" w:styleId="42">
    <w:name w:val="WPSOffice手动目录 1"/>
    <w:qFormat/>
    <w:uiPriority w:val="0"/>
    <w:rPr>
      <w:rFonts w:ascii="Times New Roman" w:hAnsi="Times New Roman" w:eastAsia="宋体" w:cs="Times New Roman"/>
      <w:lang w:val="en-US" w:eastAsia="zh-CN" w:bidi="ar-SA"/>
    </w:rPr>
  </w:style>
  <w:style w:type="paragraph" w:styleId="43">
    <w:name w:val="List Paragraph"/>
    <w:basedOn w:val="1"/>
    <w:qFormat/>
    <w:uiPriority w:val="99"/>
    <w:pPr>
      <w:ind w:firstLine="420" w:firstLineChars="200"/>
    </w:pPr>
  </w:style>
  <w:style w:type="paragraph" w:customStyle="1" w:styleId="44">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45">
    <w:name w:val="WPSOffice手动目录 2"/>
    <w:qFormat/>
    <w:uiPriority w:val="0"/>
    <w:pPr>
      <w:ind w:left="200"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8191</Words>
  <Characters>8549</Characters>
  <Lines>114</Lines>
  <Paragraphs>32</Paragraphs>
  <TotalTime>22</TotalTime>
  <ScaleCrop>false</ScaleCrop>
  <LinksUpToDate>false</LinksUpToDate>
  <CharactersWithSpaces>8940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2023-04-11T10:39:00Z</dcterms:created>
  <dc:creator>李保龙</dc:creator>
  <cp:lastModifiedBy>李祥光</cp:lastModifiedBy>
  <cp:lastPrinted>2025-09-05T11:55:00Z</cp:lastPrinted>
  <dcterms:modified xsi:type="dcterms:W3CDTF">2025-10-09T08:00:09Z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F1BC29C673434714BFF94BF912574054</vt:lpwstr>
  </property>
  <property fmtid="{D5CDD505-2E9C-101B-9397-08002B2CF9AE}" pid="4" name="KSOTemplateDocerSaveRecord">
    <vt:lpwstr>eyJoZGlkIjoiZTMyNjVmYmNlYTUxZDY1YTJlOTM3YTgyZGUwZTg3YWMiLCJ1c2VySWQiOiI3MjAxMDg0MTgifQ==</vt:lpwstr>
  </property>
</Properties>
</file>