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7B2BE80E">
      <w:pPr>
        <w:snapToGrid w:val="0"/>
        <w:jc w:val="center"/>
        <w:rPr>
          <w:rFonts w:hint="eastAsia" w:ascii="宋体" w:hAnsi="宋体"/>
          <w:sz w:val="48"/>
          <w:szCs w:val="48"/>
          <w:lang w:val="en-US" w:eastAsia="zh-CN"/>
        </w:rPr>
      </w:pPr>
      <w:r>
        <w:rPr>
          <w:rFonts w:hint="eastAsia" w:ascii="宋体" w:hAnsi="宋体"/>
          <w:sz w:val="48"/>
          <w:szCs w:val="48"/>
        </w:rPr>
        <w:t>中国重汽集团济南</w:t>
      </w:r>
      <w:r>
        <w:rPr>
          <w:rFonts w:hint="eastAsia" w:ascii="宋体" w:hAnsi="宋体"/>
          <w:sz w:val="48"/>
          <w:szCs w:val="48"/>
          <w:lang w:val="en-US" w:eastAsia="zh-CN"/>
        </w:rPr>
        <w:t>卡车</w:t>
      </w:r>
      <w:r>
        <w:rPr>
          <w:rFonts w:hint="eastAsia" w:ascii="宋体" w:hAnsi="宋体"/>
          <w:sz w:val="48"/>
          <w:szCs w:val="48"/>
        </w:rPr>
        <w:t>公司</w:t>
      </w:r>
      <w:r>
        <w:rPr>
          <w:rFonts w:hint="eastAsia" w:ascii="宋体" w:hAnsi="宋体"/>
          <w:sz w:val="48"/>
          <w:szCs w:val="48"/>
          <w:lang w:val="en-US" w:eastAsia="zh-CN"/>
        </w:rPr>
        <w:t>党家厂区锅炉能效检测项目（2025年）</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80D70AD">
      <w:pPr>
        <w:snapToGrid w:val="0"/>
        <w:jc w:val="center"/>
        <w:rPr>
          <w:rFonts w:hint="eastAsia" w:ascii="黑体" w:hAnsi="宋体" w:eastAsia="黑体"/>
          <w:sz w:val="56"/>
          <w:szCs w:val="84"/>
        </w:rPr>
      </w:pPr>
      <w:r>
        <w:rPr>
          <w:rFonts w:hint="eastAsia" w:ascii="黑体" w:hAnsi="宋体" w:eastAsia="黑体"/>
          <w:sz w:val="56"/>
          <w:szCs w:val="84"/>
        </w:rPr>
        <w:t>招</w:t>
      </w:r>
    </w:p>
    <w:p w14:paraId="136DE43D">
      <w:pPr>
        <w:snapToGrid w:val="0"/>
        <w:jc w:val="center"/>
        <w:rPr>
          <w:rFonts w:hint="eastAsia" w:ascii="黑体" w:hAnsi="宋体" w:eastAsia="黑体"/>
          <w:sz w:val="32"/>
          <w:szCs w:val="40"/>
        </w:rPr>
      </w:pPr>
    </w:p>
    <w:p w14:paraId="5B03CD08">
      <w:pPr>
        <w:snapToGrid w:val="0"/>
        <w:jc w:val="center"/>
        <w:rPr>
          <w:rFonts w:hint="eastAsia" w:ascii="黑体" w:hAnsi="宋体" w:eastAsia="黑体"/>
          <w:sz w:val="56"/>
          <w:szCs w:val="84"/>
        </w:rPr>
      </w:pPr>
      <w:r>
        <w:rPr>
          <w:rFonts w:hint="eastAsia" w:ascii="黑体" w:hAnsi="宋体" w:eastAsia="黑体"/>
          <w:sz w:val="56"/>
          <w:szCs w:val="84"/>
        </w:rPr>
        <w:t>标</w:t>
      </w:r>
    </w:p>
    <w:p w14:paraId="570A9865">
      <w:pPr>
        <w:snapToGrid w:val="0"/>
        <w:jc w:val="center"/>
        <w:rPr>
          <w:rFonts w:hint="eastAsia" w:ascii="黑体" w:hAnsi="宋体" w:eastAsia="黑体"/>
          <w:sz w:val="32"/>
          <w:szCs w:val="40"/>
        </w:rPr>
      </w:pPr>
    </w:p>
    <w:p w14:paraId="03BA63DE">
      <w:pPr>
        <w:snapToGrid w:val="0"/>
        <w:jc w:val="center"/>
        <w:rPr>
          <w:rFonts w:hint="eastAsia" w:ascii="宋体" w:hAnsi="宋体"/>
          <w:sz w:val="52"/>
          <w:szCs w:val="72"/>
        </w:rPr>
      </w:pPr>
      <w:r>
        <w:rPr>
          <w:rFonts w:hint="eastAsia" w:ascii="黑体" w:hAnsi="宋体" w:eastAsia="黑体"/>
          <w:sz w:val="56"/>
          <w:szCs w:val="84"/>
        </w:rPr>
        <w:t>书</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3D971625">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单 位</w:t>
      </w:r>
      <w:r>
        <w:rPr>
          <w:rFonts w:hint="eastAsia" w:ascii="宋体" w:hAnsi="宋体"/>
          <w:sz w:val="28"/>
          <w:szCs w:val="28"/>
        </w:rPr>
        <w:t>：中国重汽集团济南卡车股份有限公司</w:t>
      </w:r>
    </w:p>
    <w:p w14:paraId="5D8C41F0">
      <w:pPr>
        <w:jc w:val="center"/>
        <w:rPr>
          <w:rFonts w:hint="eastAsia" w:ascii="宋体" w:hAnsi="宋体"/>
          <w:sz w:val="28"/>
          <w:szCs w:val="28"/>
        </w:rPr>
      </w:pPr>
    </w:p>
    <w:p w14:paraId="5D4E77C1">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5</w:t>
      </w:r>
      <w:r>
        <w:rPr>
          <w:rFonts w:hint="eastAsia" w:ascii="宋体" w:hAnsi="宋体"/>
          <w:sz w:val="28"/>
          <w:szCs w:val="28"/>
        </w:rPr>
        <w:t>年</w:t>
      </w:r>
      <w:r>
        <w:rPr>
          <w:rFonts w:hint="eastAsia" w:ascii="宋体" w:hAnsi="宋体"/>
          <w:sz w:val="28"/>
          <w:szCs w:val="28"/>
          <w:u w:val="single"/>
          <w:lang w:val="en-US" w:eastAsia="zh-CN"/>
        </w:rPr>
        <w:t>10</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14:paraId="4D6CFAAC"/>
    <w:p w14:paraId="4EDA2617">
      <w:pPr>
        <w:pStyle w:val="6"/>
        <w:spacing w:line="360" w:lineRule="auto"/>
        <w:jc w:val="center"/>
        <w:rPr>
          <w:rFonts w:hAnsi="宋体"/>
          <w:b/>
          <w:bCs/>
          <w:sz w:val="24"/>
        </w:rPr>
      </w:pPr>
      <w:r>
        <w:rPr>
          <w:rFonts w:hAnsi="宋体"/>
          <w:b/>
          <w:bCs/>
          <w:sz w:val="24"/>
        </w:rPr>
        <w:tab/>
      </w:r>
    </w:p>
    <w:p w14:paraId="7EBA49CF">
      <w:pPr>
        <w:pStyle w:val="9"/>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TOC \o "1-1" \h \u </w:instrText>
      </w:r>
      <w:r>
        <w:rPr>
          <w:b w:val="0"/>
          <w:bCs/>
          <w:sz w:val="36"/>
          <w:szCs w:val="36"/>
        </w:rPr>
        <w:fldChar w:fldCharType="separate"/>
      </w:r>
      <w:r>
        <w:rPr>
          <w:b w:val="0"/>
          <w:bCs/>
          <w:sz w:val="36"/>
          <w:szCs w:val="36"/>
        </w:rPr>
        <w:fldChar w:fldCharType="begin"/>
      </w:r>
      <w:r>
        <w:rPr>
          <w:b w:val="0"/>
          <w:bCs/>
          <w:sz w:val="36"/>
          <w:szCs w:val="36"/>
        </w:rPr>
        <w:instrText xml:space="preserve"> HYPERLINK \l _Toc10078 </w:instrText>
      </w:r>
      <w:r>
        <w:rPr>
          <w:b w:val="0"/>
          <w:bCs/>
          <w:sz w:val="36"/>
          <w:szCs w:val="36"/>
        </w:rPr>
        <w:fldChar w:fldCharType="separate"/>
      </w:r>
      <w:r>
        <w:rPr>
          <w:rFonts w:hint="eastAsia" w:ascii="黑体" w:eastAsia="黑体"/>
          <w:b w:val="0"/>
          <w:bCs/>
          <w:sz w:val="36"/>
          <w:szCs w:val="36"/>
        </w:rPr>
        <w:t>第一章  招标公告</w:t>
      </w:r>
      <w:r>
        <w:rPr>
          <w:b w:val="0"/>
          <w:bCs/>
          <w:sz w:val="36"/>
          <w:szCs w:val="36"/>
        </w:rPr>
        <w:tab/>
      </w:r>
      <w:r>
        <w:rPr>
          <w:b w:val="0"/>
          <w:bCs/>
          <w:sz w:val="36"/>
          <w:szCs w:val="36"/>
        </w:rPr>
        <w:fldChar w:fldCharType="begin"/>
      </w:r>
      <w:r>
        <w:rPr>
          <w:b w:val="0"/>
          <w:bCs/>
          <w:sz w:val="36"/>
          <w:szCs w:val="36"/>
        </w:rPr>
        <w:instrText xml:space="preserve"> PAGEREF _Toc10078 \h </w:instrText>
      </w:r>
      <w:r>
        <w:rPr>
          <w:b w:val="0"/>
          <w:bCs/>
          <w:sz w:val="36"/>
          <w:szCs w:val="36"/>
        </w:rPr>
        <w:fldChar w:fldCharType="separate"/>
      </w:r>
      <w:r>
        <w:rPr>
          <w:b w:val="0"/>
          <w:bCs/>
          <w:sz w:val="36"/>
          <w:szCs w:val="36"/>
        </w:rPr>
        <w:t>3</w:t>
      </w:r>
      <w:r>
        <w:rPr>
          <w:b w:val="0"/>
          <w:bCs/>
          <w:sz w:val="36"/>
          <w:szCs w:val="36"/>
        </w:rPr>
        <w:fldChar w:fldCharType="end"/>
      </w:r>
      <w:r>
        <w:rPr>
          <w:b w:val="0"/>
          <w:bCs/>
          <w:sz w:val="36"/>
          <w:szCs w:val="36"/>
        </w:rPr>
        <w:fldChar w:fldCharType="end"/>
      </w:r>
    </w:p>
    <w:p w14:paraId="721E4952">
      <w:pPr>
        <w:pStyle w:val="9"/>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 HYPERLINK \l _Toc10725 </w:instrText>
      </w:r>
      <w:r>
        <w:rPr>
          <w:b w:val="0"/>
          <w:bCs/>
          <w:sz w:val="36"/>
          <w:szCs w:val="36"/>
        </w:rPr>
        <w:fldChar w:fldCharType="separate"/>
      </w:r>
      <w:r>
        <w:rPr>
          <w:rFonts w:hint="eastAsia" w:ascii="黑体" w:hAnsi="Courier New" w:eastAsia="黑体"/>
          <w:b w:val="0"/>
          <w:bCs/>
          <w:sz w:val="36"/>
          <w:szCs w:val="36"/>
        </w:rPr>
        <w:t>第二章  投标文件编制</w:t>
      </w:r>
      <w:r>
        <w:rPr>
          <w:b w:val="0"/>
          <w:bCs/>
          <w:sz w:val="36"/>
          <w:szCs w:val="36"/>
        </w:rPr>
        <w:tab/>
      </w:r>
      <w:r>
        <w:rPr>
          <w:b w:val="0"/>
          <w:bCs/>
          <w:sz w:val="36"/>
          <w:szCs w:val="36"/>
        </w:rPr>
        <w:fldChar w:fldCharType="begin"/>
      </w:r>
      <w:r>
        <w:rPr>
          <w:b w:val="0"/>
          <w:bCs/>
          <w:sz w:val="36"/>
          <w:szCs w:val="36"/>
        </w:rPr>
        <w:instrText xml:space="preserve"> PAGEREF _Toc10725 \h </w:instrText>
      </w:r>
      <w:r>
        <w:rPr>
          <w:b w:val="0"/>
          <w:bCs/>
          <w:sz w:val="36"/>
          <w:szCs w:val="36"/>
        </w:rPr>
        <w:fldChar w:fldCharType="separate"/>
      </w:r>
      <w:r>
        <w:rPr>
          <w:b w:val="0"/>
          <w:bCs/>
          <w:sz w:val="36"/>
          <w:szCs w:val="36"/>
        </w:rPr>
        <w:t>11</w:t>
      </w:r>
      <w:r>
        <w:rPr>
          <w:b w:val="0"/>
          <w:bCs/>
          <w:sz w:val="36"/>
          <w:szCs w:val="36"/>
        </w:rPr>
        <w:fldChar w:fldCharType="end"/>
      </w:r>
      <w:r>
        <w:rPr>
          <w:b w:val="0"/>
          <w:bCs/>
          <w:sz w:val="36"/>
          <w:szCs w:val="36"/>
        </w:rPr>
        <w:fldChar w:fldCharType="end"/>
      </w:r>
    </w:p>
    <w:p w14:paraId="3681A35E">
      <w:pPr>
        <w:pStyle w:val="9"/>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 HYPERLINK \l _Toc13248 </w:instrText>
      </w:r>
      <w:r>
        <w:rPr>
          <w:b w:val="0"/>
          <w:bCs/>
          <w:sz w:val="36"/>
          <w:szCs w:val="36"/>
        </w:rPr>
        <w:fldChar w:fldCharType="separate"/>
      </w:r>
      <w:r>
        <w:rPr>
          <w:rFonts w:hint="eastAsia" w:ascii="黑体" w:eastAsia="黑体"/>
          <w:b w:val="0"/>
          <w:bCs/>
          <w:sz w:val="36"/>
          <w:szCs w:val="36"/>
        </w:rPr>
        <w:t xml:space="preserve">第三章 </w:t>
      </w:r>
      <w:r>
        <w:rPr>
          <w:rFonts w:ascii="黑体" w:eastAsia="黑体"/>
          <w:b w:val="0"/>
          <w:bCs/>
          <w:sz w:val="36"/>
          <w:szCs w:val="36"/>
        </w:rPr>
        <w:t>技术</w:t>
      </w:r>
      <w:r>
        <w:rPr>
          <w:rFonts w:hint="eastAsia" w:ascii="黑体" w:eastAsia="黑体"/>
          <w:b w:val="0"/>
          <w:bCs/>
          <w:sz w:val="36"/>
          <w:szCs w:val="36"/>
        </w:rPr>
        <w:t>要求</w:t>
      </w:r>
      <w:r>
        <w:rPr>
          <w:b w:val="0"/>
          <w:bCs/>
          <w:sz w:val="36"/>
          <w:szCs w:val="36"/>
        </w:rPr>
        <w:tab/>
      </w:r>
      <w:r>
        <w:rPr>
          <w:b w:val="0"/>
          <w:bCs/>
          <w:sz w:val="36"/>
          <w:szCs w:val="36"/>
        </w:rPr>
        <w:fldChar w:fldCharType="begin"/>
      </w:r>
      <w:r>
        <w:rPr>
          <w:b w:val="0"/>
          <w:bCs/>
          <w:sz w:val="36"/>
          <w:szCs w:val="36"/>
        </w:rPr>
        <w:instrText xml:space="preserve"> PAGEREF _Toc13248 \h </w:instrText>
      </w:r>
      <w:r>
        <w:rPr>
          <w:b w:val="0"/>
          <w:bCs/>
          <w:sz w:val="36"/>
          <w:szCs w:val="36"/>
        </w:rPr>
        <w:fldChar w:fldCharType="separate"/>
      </w:r>
      <w:r>
        <w:rPr>
          <w:b w:val="0"/>
          <w:bCs/>
          <w:sz w:val="36"/>
          <w:szCs w:val="36"/>
        </w:rPr>
        <w:t>13</w:t>
      </w:r>
      <w:r>
        <w:rPr>
          <w:b w:val="0"/>
          <w:bCs/>
          <w:sz w:val="36"/>
          <w:szCs w:val="36"/>
        </w:rPr>
        <w:fldChar w:fldCharType="end"/>
      </w:r>
      <w:r>
        <w:rPr>
          <w:b w:val="0"/>
          <w:bCs/>
          <w:sz w:val="36"/>
          <w:szCs w:val="36"/>
        </w:rPr>
        <w:fldChar w:fldCharType="end"/>
      </w:r>
    </w:p>
    <w:p w14:paraId="4B1FA08E">
      <w:r>
        <w:rPr>
          <w:b w:val="0"/>
          <w:bCs/>
          <w:sz w:val="36"/>
          <w:szCs w:val="36"/>
        </w:rPr>
        <w:fldChar w:fldCharType="end"/>
      </w:r>
    </w:p>
    <w:p w14:paraId="11BBB0ED">
      <w:pPr>
        <w:pStyle w:val="6"/>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p>
    <w:p w14:paraId="7B821463">
      <w:pPr>
        <w:pStyle w:val="6"/>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4780A4D">
      <w:pPr>
        <w:pStyle w:val="6"/>
        <w:spacing w:line="360" w:lineRule="auto"/>
        <w:rPr>
          <w:rFonts w:hint="eastAsia" w:ascii="黑体" w:eastAsia="黑体"/>
          <w:b/>
          <w:bCs/>
          <w:sz w:val="28"/>
        </w:rPr>
      </w:pPr>
      <w:r>
        <w:rPr>
          <w:rFonts w:hint="eastAsia" w:ascii="黑体" w:eastAsia="黑体"/>
          <w:b/>
          <w:bCs/>
          <w:sz w:val="28"/>
        </w:rPr>
        <w:t>一、项目名称</w:t>
      </w:r>
    </w:p>
    <w:p w14:paraId="7363B2D7">
      <w:pPr>
        <w:pStyle w:val="6"/>
        <w:spacing w:line="360" w:lineRule="auto"/>
        <w:ind w:left="420"/>
        <w:rPr>
          <w:rFonts w:hint="eastAsia"/>
          <w:lang w:eastAsia="zh-CN"/>
        </w:rPr>
      </w:pPr>
      <w:r>
        <w:rPr>
          <w:rFonts w:hint="eastAsia"/>
        </w:rPr>
        <w:t>项目名称：</w:t>
      </w:r>
      <w:r>
        <w:rPr>
          <w:rFonts w:hint="eastAsia"/>
          <w:lang w:eastAsia="zh-CN"/>
        </w:rPr>
        <w:t>党家厂区锅炉能效检测项目（2025年）</w:t>
      </w:r>
    </w:p>
    <w:p w14:paraId="7CE24266">
      <w:pPr>
        <w:pStyle w:val="6"/>
        <w:spacing w:line="360" w:lineRule="auto"/>
        <w:ind w:left="420"/>
        <w:rPr>
          <w:rFonts w:hint="default"/>
          <w:lang w:val="en-US" w:eastAsia="zh-CN"/>
        </w:rPr>
      </w:pPr>
      <w:r>
        <w:rPr>
          <w:rFonts w:hint="eastAsia"/>
          <w:lang w:val="en-US" w:eastAsia="zh-CN"/>
        </w:rPr>
        <w:t>项目编号：FSCZB2025090185</w:t>
      </w:r>
    </w:p>
    <w:p w14:paraId="113BE078">
      <w:pPr>
        <w:pStyle w:val="6"/>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5D753BCC">
      <w:pPr>
        <w:pStyle w:val="6"/>
        <w:spacing w:line="360" w:lineRule="auto"/>
        <w:ind w:firstLine="420" w:firstLineChars="200"/>
        <w:rPr>
          <w:rFonts w:hint="eastAsia"/>
          <w:i w:val="0"/>
          <w:iCs w:val="0"/>
          <w:lang w:val="en-US" w:eastAsia="zh-CN"/>
        </w:rPr>
      </w:pPr>
      <w:r>
        <w:rPr>
          <w:rFonts w:hint="eastAsia"/>
          <w:i w:val="0"/>
          <w:iCs w:val="0"/>
          <w:lang w:val="en-US" w:eastAsia="zh-CN"/>
        </w:rPr>
        <w:t>1、依据《锅炉节能环保技术规程》TSG91-2021的5.4.1条定期能效测试要求，对党家庄厂区在用的4台燃气锅炉开展两年一次的定期能效测试，并出具具有法律效力的能效检测报告。</w:t>
      </w:r>
    </w:p>
    <w:p w14:paraId="3A242CD1">
      <w:pPr>
        <w:pStyle w:val="6"/>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14:paraId="52124B55">
      <w:pPr>
        <w:pStyle w:val="6"/>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39DCFAAE">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p>
    <w:p w14:paraId="4BDAB1D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依据《锅炉节能环保技术规程》要求，针对党家庄厂区在用的4台燃气锅炉，在能效测试完成后，10个工作日内出具具有法律效力、得到特种设备监管部门认可的定期能效测试报告。</w:t>
      </w:r>
    </w:p>
    <w:p w14:paraId="458FC388">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验收通过标准：按规程及时完成招标方党家厂区4台在用燃气锅炉的能效检测服务工作，出具对应的定期能效测试报告等资料，服务良好。检测报告应加盖检测机构专用印章。</w:t>
      </w:r>
    </w:p>
    <w:p w14:paraId="7510F9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总工期为：20天。</w:t>
      </w:r>
    </w:p>
    <w:p w14:paraId="7B8C9C44">
      <w:pPr>
        <w:pStyle w:val="18"/>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：济南卡车有限公司党家厂区</w:t>
      </w:r>
    </w:p>
    <w:p w14:paraId="43B83927">
      <w:pPr>
        <w:pStyle w:val="6"/>
        <w:numPr>
          <w:ilvl w:val="0"/>
          <w:numId w:val="0"/>
        </w:numPr>
        <w:spacing w:line="360" w:lineRule="auto"/>
        <w:ind w:firstLine="422" w:firstLineChars="200"/>
        <w:rPr>
          <w:rFonts w:hint="eastAsia" w:ascii="Calibri" w:hAnsi="Calibri"/>
          <w:highlight w:val="none"/>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7EBC505C">
      <w:pPr>
        <w:pStyle w:val="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①按照要求保质保量完成检验检测服务，出具锅炉能效测试报告，委托方提交下列单据经招标方审核无误后，招标方一次性付给委托方锅炉能效测试检验费</w:t>
      </w:r>
      <w:r>
        <w:rPr>
          <w:rFonts w:hint="eastAsia" w:ascii="Calibri" w:hAnsi="Calibri"/>
          <w:highlight w:val="none"/>
          <w:lang w:eastAsia="zh-CN"/>
        </w:rPr>
        <w:t>，</w:t>
      </w:r>
      <w:r>
        <w:rPr>
          <w:rFonts w:hint="eastAsia" w:ascii="Calibri" w:hAnsi="Calibri"/>
          <w:highlight w:val="none"/>
          <w:lang w:val="en-US" w:eastAsia="zh-CN"/>
        </w:rPr>
        <w:t>账期：30天</w:t>
      </w:r>
      <w:r>
        <w:rPr>
          <w:rFonts w:hint="eastAsia" w:ascii="Calibri" w:hAnsi="Calibri"/>
          <w:highlight w:val="none"/>
        </w:rPr>
        <w:t>。</w:t>
      </w:r>
    </w:p>
    <w:p w14:paraId="0EAABA39">
      <w:pPr>
        <w:pStyle w:val="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A</w:t>
      </w:r>
      <w:r>
        <w:rPr>
          <w:rFonts w:hint="eastAsia" w:ascii="Calibri" w:hAnsi="Calibri"/>
          <w:highlight w:val="none"/>
          <w:lang w:eastAsia="zh-CN"/>
        </w:rPr>
        <w:t>、</w:t>
      </w:r>
      <w:r>
        <w:rPr>
          <w:rFonts w:hint="eastAsia" w:ascii="Calibri" w:hAnsi="Calibri"/>
          <w:highlight w:val="none"/>
        </w:rPr>
        <w:t>金额为合同总额</w:t>
      </w:r>
      <w:r>
        <w:rPr>
          <w:rFonts w:hint="eastAsia" w:ascii="Calibri" w:hAnsi="Calibri"/>
          <w:highlight w:val="none"/>
          <w:u w:val="single"/>
        </w:rPr>
        <w:t xml:space="preserve"> 100%</w:t>
      </w:r>
      <w:r>
        <w:rPr>
          <w:rFonts w:hint="eastAsia" w:ascii="Calibri" w:hAnsi="Calibri"/>
          <w:highlight w:val="none"/>
        </w:rPr>
        <w:t>的增值税专用发票。</w:t>
      </w:r>
    </w:p>
    <w:p w14:paraId="3853AA8B">
      <w:pPr>
        <w:pStyle w:val="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B</w:t>
      </w:r>
      <w:r>
        <w:rPr>
          <w:rFonts w:hint="eastAsia" w:ascii="Calibri" w:hAnsi="Calibri"/>
          <w:highlight w:val="none"/>
          <w:lang w:eastAsia="zh-CN"/>
        </w:rPr>
        <w:t>、</w:t>
      </w:r>
      <w:r>
        <w:rPr>
          <w:rFonts w:hint="eastAsia" w:ascii="Calibri" w:hAnsi="Calibri"/>
          <w:highlight w:val="none"/>
          <w:u w:val="single"/>
          <w:lang w:val="en-US" w:eastAsia="zh-CN"/>
        </w:rPr>
        <w:t>10</w:t>
      </w:r>
      <w:r>
        <w:rPr>
          <w:rFonts w:hint="eastAsia" w:ascii="Calibri" w:hAnsi="Calibri"/>
          <w:highlight w:val="none"/>
          <w:u w:val="single"/>
        </w:rPr>
        <w:t>0%</w:t>
      </w:r>
      <w:r>
        <w:rPr>
          <w:rFonts w:hint="eastAsia" w:ascii="Calibri" w:hAnsi="Calibri"/>
          <w:highlight w:val="none"/>
        </w:rPr>
        <w:t>付款额为财务收据。</w:t>
      </w:r>
    </w:p>
    <w:p w14:paraId="2EC9B5E0">
      <w:pPr>
        <w:pStyle w:val="6"/>
        <w:spacing w:line="360" w:lineRule="auto"/>
        <w:ind w:firstLine="420" w:firstLineChars="200"/>
        <w:rPr>
          <w:rFonts w:hint="eastAsia"/>
        </w:rPr>
      </w:pPr>
      <w:r>
        <w:rPr>
          <w:rFonts w:hint="eastAsia" w:ascii="Calibri" w:hAnsi="Calibri"/>
          <w:highlight w:val="none"/>
        </w:rPr>
        <w:t>C</w:t>
      </w:r>
      <w:r>
        <w:rPr>
          <w:rFonts w:hint="eastAsia" w:ascii="Calibri" w:hAnsi="Calibri"/>
          <w:highlight w:val="none"/>
          <w:lang w:eastAsia="zh-CN"/>
        </w:rPr>
        <w:t>、</w:t>
      </w:r>
      <w:r>
        <w:rPr>
          <w:rFonts w:hint="eastAsia" w:ascii="Calibri" w:hAnsi="Calibri"/>
          <w:highlight w:val="none"/>
        </w:rPr>
        <w:t>财务授权书及相关付款所需资料。</w:t>
      </w:r>
    </w:p>
    <w:p w14:paraId="5F4B0B6F">
      <w:pPr>
        <w:pStyle w:val="6"/>
        <w:spacing w:line="360" w:lineRule="auto"/>
        <w:ind w:firstLine="422" w:firstLineChars="200"/>
        <w:rPr>
          <w:rFonts w:hint="eastAsia" w:ascii="黑体" w:eastAsia="黑体"/>
          <w:b/>
          <w:bCs/>
          <w:sz w:val="28"/>
        </w:rPr>
      </w:pPr>
      <w:r>
        <w:rPr>
          <w:rFonts w:hint="eastAsia" w:ascii="宋体" w:hAnsi="宋体" w:eastAsia="宋体" w:cs="宋体"/>
          <w:b/>
          <w:bCs/>
          <w:color w:val="auto"/>
          <w:sz w:val="21"/>
          <w:szCs w:val="21"/>
          <w:highlight w:val="none"/>
        </w:rPr>
        <w:t>*注：付款方式及付款比例不允许偏离。</w:t>
      </w:r>
    </w:p>
    <w:p w14:paraId="6DE2646B">
      <w:pPr>
        <w:pStyle w:val="6"/>
        <w:spacing w:line="360" w:lineRule="auto"/>
        <w:rPr>
          <w:rFonts w:hint="eastAsia" w:ascii="黑体" w:eastAsia="黑体"/>
          <w:b/>
          <w:bCs/>
          <w:sz w:val="28"/>
        </w:rPr>
      </w:pPr>
      <w:r>
        <w:rPr>
          <w:rFonts w:hint="eastAsia" w:ascii="黑体" w:eastAsia="黑体"/>
          <w:b/>
          <w:bCs/>
          <w:sz w:val="28"/>
        </w:rPr>
        <w:t xml:space="preserve">四、议程安排 </w:t>
      </w:r>
    </w:p>
    <w:p w14:paraId="1185BE2D">
      <w:pPr>
        <w:pStyle w:val="6"/>
        <w:numPr>
          <w:ilvl w:val="0"/>
          <w:numId w:val="2"/>
        </w:numPr>
        <w:spacing w:line="360" w:lineRule="auto"/>
        <w:ind w:left="425" w:leftChars="0" w:hanging="425" w:firstLineChars="0"/>
        <w:rPr>
          <w:rFonts w:hint="eastAsia"/>
        </w:rPr>
      </w:pPr>
      <w:r>
        <w:rPr>
          <w:rFonts w:hint="eastAsia"/>
        </w:rPr>
        <w:t>报名截止时间：</w:t>
      </w:r>
      <w:r>
        <w:rPr>
          <w:rFonts w:hint="eastAsia"/>
          <w:color w:val="auto"/>
        </w:rPr>
        <w:t>202</w:t>
      </w:r>
      <w:r>
        <w:rPr>
          <w:rFonts w:hint="eastAsia"/>
          <w:color w:val="auto"/>
          <w:lang w:val="en-US" w:eastAsia="zh-CN"/>
        </w:rPr>
        <w:t>5</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29</w:t>
      </w:r>
      <w:r>
        <w:rPr>
          <w:rFonts w:hint="eastAsia"/>
          <w:color w:val="auto"/>
        </w:rPr>
        <w:t>日下午</w:t>
      </w:r>
      <w:r>
        <w:rPr>
          <w:rFonts w:hint="eastAsia"/>
          <w:color w:val="auto"/>
          <w:lang w:val="en-US" w:eastAsia="zh-CN"/>
        </w:rPr>
        <w:t>17</w:t>
      </w:r>
      <w:r>
        <w:rPr>
          <w:rFonts w:hint="eastAsia"/>
          <w:color w:val="auto"/>
        </w:rPr>
        <w:t>时。</w:t>
      </w:r>
    </w:p>
    <w:p w14:paraId="7376D370">
      <w:pPr>
        <w:pStyle w:val="6"/>
        <w:numPr>
          <w:ilvl w:val="0"/>
          <w:numId w:val="2"/>
        </w:numPr>
        <w:spacing w:line="360" w:lineRule="auto"/>
        <w:ind w:left="425" w:leftChars="0" w:hanging="425" w:firstLineChars="0"/>
        <w:rPr>
          <w:rFonts w:hint="eastAsia"/>
        </w:rPr>
      </w:pPr>
      <w:r>
        <w:rPr>
          <w:rFonts w:hint="eastAsia"/>
        </w:rPr>
        <w:t>答疑时间：截止至202</w:t>
      </w:r>
      <w:r>
        <w:rPr>
          <w:rFonts w:hint="eastAsia"/>
          <w:lang w:val="en-US" w:eastAsia="zh-CN"/>
        </w:rPr>
        <w:t>5</w:t>
      </w:r>
      <w:r>
        <w:rPr>
          <w:rFonts w:hint="eastAsia"/>
        </w:rPr>
        <w:t>年</w:t>
      </w:r>
      <w:r>
        <w:rPr>
          <w:rFonts w:hint="eastAsia"/>
          <w:lang w:val="en-US" w:eastAsia="zh-CN"/>
        </w:rPr>
        <w:t>11</w:t>
      </w:r>
      <w:r>
        <w:rPr>
          <w:rFonts w:hint="eastAsia"/>
        </w:rPr>
        <w:t>月</w:t>
      </w:r>
      <w:r>
        <w:rPr>
          <w:rFonts w:hint="eastAsia"/>
          <w:lang w:val="en-US" w:eastAsia="zh-CN"/>
        </w:rPr>
        <w:t>3</w:t>
      </w:r>
      <w:r>
        <w:rPr>
          <w:rFonts w:hint="eastAsia"/>
        </w:rPr>
        <w:t>日1</w:t>
      </w:r>
      <w:r>
        <w:t>7</w:t>
      </w:r>
      <w:r>
        <w:rPr>
          <w:rFonts w:hint="eastAsia"/>
        </w:rPr>
        <w:t>点前。</w:t>
      </w:r>
    </w:p>
    <w:p w14:paraId="261CEBEE">
      <w:pPr>
        <w:pStyle w:val="6"/>
        <w:spacing w:line="360" w:lineRule="auto"/>
        <w:ind w:firstLine="630" w:firstLineChars="300"/>
        <w:rPr>
          <w:rFonts w:hint="default" w:cs="Times New Roman"/>
          <w:lang w:val="en-US" w:eastAsia="zh-CN"/>
        </w:rPr>
      </w:pPr>
      <w:r>
        <w:rPr>
          <w:rFonts w:hint="eastAsia"/>
        </w:rPr>
        <w:t>答疑</w:t>
      </w:r>
      <w:r>
        <w:rPr>
          <w:rFonts w:hint="eastAsia" w:cs="Times New Roman"/>
        </w:rPr>
        <w:t>联系人：</w:t>
      </w:r>
      <w:r>
        <w:rPr>
          <w:rFonts w:hint="eastAsia" w:cs="Times New Roman"/>
          <w:lang w:val="en-US" w:eastAsia="zh-CN"/>
        </w:rPr>
        <w:t xml:space="preserve">王艳 </w:t>
      </w:r>
      <w:r>
        <w:rPr>
          <w:rFonts w:hint="eastAsia" w:cs="Times New Roman"/>
        </w:rPr>
        <w:t xml:space="preserve">   答疑联系电话：</w:t>
      </w:r>
      <w:r>
        <w:rPr>
          <w:rFonts w:hint="eastAsia" w:cs="Times New Roman"/>
          <w:lang w:val="en-US" w:eastAsia="zh-CN"/>
        </w:rPr>
        <w:t>15964548466</w:t>
      </w:r>
    </w:p>
    <w:p w14:paraId="462D79E5">
      <w:pPr>
        <w:pStyle w:val="6"/>
        <w:numPr>
          <w:ilvl w:val="0"/>
          <w:numId w:val="2"/>
        </w:numPr>
        <w:spacing w:line="360" w:lineRule="auto"/>
        <w:ind w:left="425" w:leftChars="0" w:hanging="425" w:firstLineChars="0"/>
        <w:rPr>
          <w:rFonts w:hint="eastAsia"/>
        </w:rPr>
      </w:pPr>
      <w:r>
        <w:rPr>
          <w:rFonts w:hint="eastAsia"/>
          <w:lang w:val="en-US" w:eastAsia="zh-CN"/>
        </w:rPr>
        <w:t>投标截止时间：</w:t>
      </w:r>
      <w:r>
        <w:rPr>
          <w:rFonts w:hint="eastAsia"/>
        </w:rPr>
        <w:t>202</w:t>
      </w:r>
      <w:r>
        <w:rPr>
          <w:rFonts w:hint="eastAsia"/>
          <w:lang w:val="en-US" w:eastAsia="zh-CN"/>
        </w:rPr>
        <w:t>5</w:t>
      </w:r>
      <w:r>
        <w:rPr>
          <w:rFonts w:hint="eastAsia"/>
        </w:rPr>
        <w:t>年</w:t>
      </w:r>
      <w:r>
        <w:rPr>
          <w:rFonts w:hint="eastAsia"/>
          <w:lang w:val="en-US" w:eastAsia="zh-CN"/>
        </w:rPr>
        <w:t>11</w:t>
      </w:r>
      <w:r>
        <w:rPr>
          <w:rFonts w:hint="eastAsia"/>
        </w:rPr>
        <w:t>月</w:t>
      </w:r>
      <w:r>
        <w:rPr>
          <w:rFonts w:hint="eastAsia"/>
          <w:lang w:val="en-US" w:eastAsia="zh-CN"/>
        </w:rPr>
        <w:t>19</w:t>
      </w:r>
      <w:r>
        <w:rPr>
          <w:rFonts w:hint="eastAsia"/>
        </w:rPr>
        <w:t>日上午</w:t>
      </w:r>
      <w:r>
        <w:t>9</w:t>
      </w:r>
      <w:r>
        <w:rPr>
          <w:rFonts w:hint="eastAsia"/>
        </w:rPr>
        <w:t>时</w:t>
      </w:r>
    </w:p>
    <w:p w14:paraId="459D11E7">
      <w:pPr>
        <w:pStyle w:val="6"/>
        <w:numPr>
          <w:ilvl w:val="0"/>
          <w:numId w:val="2"/>
        </w:numPr>
        <w:spacing w:line="360" w:lineRule="auto"/>
        <w:ind w:left="425" w:leftChars="0" w:hanging="425" w:firstLineChars="0"/>
        <w:rPr>
          <w:rFonts w:hint="eastAsia"/>
        </w:rPr>
      </w:pPr>
      <w:r>
        <w:rPr>
          <w:rFonts w:hint="eastAsia"/>
        </w:rPr>
        <w:t>开标时间：202</w:t>
      </w:r>
      <w:r>
        <w:rPr>
          <w:rFonts w:hint="eastAsia"/>
          <w:lang w:val="en-US" w:eastAsia="zh-CN"/>
        </w:rPr>
        <w:t>5</w:t>
      </w:r>
      <w:r>
        <w:rPr>
          <w:rFonts w:hint="eastAsia"/>
        </w:rPr>
        <w:t>年</w:t>
      </w:r>
      <w:r>
        <w:rPr>
          <w:rFonts w:hint="eastAsia"/>
          <w:lang w:val="en-US" w:eastAsia="zh-CN"/>
        </w:rPr>
        <w:t>11</w:t>
      </w:r>
      <w:r>
        <w:rPr>
          <w:rFonts w:hint="eastAsia"/>
        </w:rPr>
        <w:t>月</w:t>
      </w:r>
      <w:r>
        <w:rPr>
          <w:rFonts w:hint="eastAsia"/>
          <w:lang w:val="en-US" w:eastAsia="zh-CN"/>
        </w:rPr>
        <w:t>19</w:t>
      </w:r>
      <w:r>
        <w:rPr>
          <w:rFonts w:hint="eastAsia"/>
        </w:rPr>
        <w:t>日上午</w:t>
      </w:r>
      <w:r>
        <w:t>9</w:t>
      </w:r>
      <w:r>
        <w:rPr>
          <w:rFonts w:hint="eastAsia"/>
        </w:rPr>
        <w:t>时（若有变动另行通知）。</w:t>
      </w:r>
    </w:p>
    <w:p w14:paraId="6F16C094">
      <w:pPr>
        <w:pStyle w:val="6"/>
        <w:numPr>
          <w:ilvl w:val="0"/>
          <w:numId w:val="2"/>
        </w:numPr>
        <w:spacing w:line="360" w:lineRule="auto"/>
        <w:ind w:left="425" w:leftChars="0" w:hanging="425" w:firstLineChars="0"/>
        <w:rPr>
          <w:rFonts w:hint="eastAsia"/>
        </w:rPr>
      </w:pPr>
      <w:r>
        <w:rPr>
          <w:rFonts w:hint="eastAsia"/>
          <w:lang w:val="en-US" w:eastAsia="zh-CN"/>
        </w:rPr>
        <w:t>开</w:t>
      </w:r>
      <w:r>
        <w:rPr>
          <w:rFonts w:hint="eastAsia"/>
        </w:rPr>
        <w:t>标地点：</w:t>
      </w:r>
      <w:r>
        <w:rPr>
          <w:rFonts w:hint="eastAsia"/>
          <w:lang w:val="en-US" w:eastAsia="zh-CN"/>
        </w:rPr>
        <w:t>中国重汽集团科技大厦。（待定）</w:t>
      </w:r>
    </w:p>
    <w:p w14:paraId="2BCC9D58">
      <w:pPr>
        <w:pStyle w:val="6"/>
        <w:numPr>
          <w:ilvl w:val="0"/>
          <w:numId w:val="2"/>
        </w:numPr>
        <w:spacing w:line="360" w:lineRule="auto"/>
        <w:ind w:left="425" w:leftChars="0" w:hanging="425" w:firstLineChars="0"/>
        <w:rPr>
          <w:rFonts w:hint="eastAsia" w:eastAsia="宋体"/>
          <w:lang w:eastAsia="zh-CN"/>
        </w:rPr>
      </w:pPr>
      <w:r>
        <w:rPr>
          <w:rFonts w:hint="eastAsia"/>
        </w:rPr>
        <w:t>报名及商务事宜联系人：</w:t>
      </w:r>
      <w:r>
        <w:rPr>
          <w:rFonts w:hint="eastAsia"/>
          <w:color w:val="auto"/>
          <w:lang w:val="en-US" w:eastAsia="zh-CN"/>
        </w:rPr>
        <w:t>王瑄</w:t>
      </w:r>
    </w:p>
    <w:p w14:paraId="66772D76">
      <w:pPr>
        <w:pStyle w:val="6"/>
        <w:spacing w:line="360" w:lineRule="auto"/>
        <w:ind w:firstLine="420" w:firstLineChars="200"/>
        <w:rPr>
          <w:rFonts w:hint="default"/>
          <w:lang w:val="en-US" w:eastAsia="zh-CN"/>
        </w:rPr>
      </w:pPr>
      <w:r>
        <w:rPr>
          <w:rFonts w:hint="eastAsia"/>
        </w:rPr>
        <w:t xml:space="preserve">  联系电话：</w:t>
      </w:r>
      <w:r>
        <w:rPr>
          <w:rFonts w:hint="eastAsia"/>
          <w:lang w:val="en-US" w:eastAsia="zh-CN"/>
        </w:rPr>
        <w:t xml:space="preserve">17860605786 </w:t>
      </w:r>
      <w:r>
        <w:t xml:space="preserve"> </w:t>
      </w:r>
    </w:p>
    <w:p w14:paraId="6A01369D">
      <w:pPr>
        <w:pStyle w:val="6"/>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19"/>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23</w:t>
      </w:r>
      <w:r>
        <w:rPr>
          <w:rFonts w:hint="eastAsia" w:ascii="宋体" w:hAnsi="Courier New" w:eastAsia="宋体" w:cs="Times New Roman"/>
          <w:highlight w:val="none"/>
          <w:lang w:val="en-US" w:eastAsia="zh-CN"/>
        </w:rPr>
        <w:t>日</w:t>
      </w:r>
    </w:p>
    <w:p w14:paraId="04ACA6F8">
      <w:pPr>
        <w:pStyle w:val="19"/>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19"/>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19"/>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29</w:t>
      </w:r>
      <w:r>
        <w:rPr>
          <w:rFonts w:hint="eastAsia" w:eastAsia="宋体" w:cs="宋体"/>
          <w:highlight w:val="none"/>
        </w:rPr>
        <w:t>日17时00分00秒</w:t>
      </w:r>
    </w:p>
    <w:p w14:paraId="2521BCA0">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6"/>
        <w:spacing w:line="360" w:lineRule="auto"/>
        <w:rPr>
          <w:rFonts w:hint="eastAsia" w:ascii="黑体" w:eastAsia="黑体"/>
          <w:b/>
          <w:bCs/>
          <w:sz w:val="28"/>
        </w:rPr>
      </w:pPr>
      <w:r>
        <w:rPr>
          <w:rFonts w:hint="eastAsia" w:ascii="黑体" w:eastAsia="黑体"/>
          <w:b/>
          <w:bCs/>
          <w:sz w:val="28"/>
        </w:rPr>
        <w:t>六、投标须知</w:t>
      </w:r>
    </w:p>
    <w:p w14:paraId="0E6E3488">
      <w:pPr>
        <w:pStyle w:val="6"/>
        <w:spacing w:line="360" w:lineRule="auto"/>
        <w:ind w:firstLine="422" w:firstLineChars="200"/>
        <w:rPr>
          <w:rFonts w:hint="eastAsia"/>
          <w:b/>
        </w:rPr>
      </w:pPr>
      <w:r>
        <w:rPr>
          <w:rFonts w:hint="eastAsia"/>
          <w:b/>
        </w:rPr>
        <w:t>1.合格投标人：</w:t>
      </w:r>
    </w:p>
    <w:p w14:paraId="166DF9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1、必须具有特种设备检验检测技术咨询/服务等相关经营许可资质。 </w:t>
      </w:r>
    </w:p>
    <w:p w14:paraId="4A012F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2、公司注册资本不少于壹佰万元（人民币）。</w:t>
      </w:r>
    </w:p>
    <w:p w14:paraId="7EED5E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3、在社会上和重汽集团内的其它招标过程中没有不良行为记录。</w:t>
      </w:r>
    </w:p>
    <w:p w14:paraId="6A2EE2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4、无招标违规、谎报年度报告信息、提供虚假资质资料等行为和行政处罚记录。</w:t>
      </w:r>
    </w:p>
    <w:p w14:paraId="173690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5、公司财务良好，经营稳定，有全面履约的能力；投标单位之间必须具有充分的竞争关系。</w:t>
      </w:r>
    </w:p>
    <w:p w14:paraId="6BE918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 、投标单位应具有良好的商业信誉，没有被处于责令停产、财产被冻结、接管、破产、且财务状况良好。</w:t>
      </w:r>
    </w:p>
    <w:p w14:paraId="7B7BD1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投标单位未在“信用中国”网站（www.creditchina.gov.cn）或各级信用信息共享平台列入失信被执行人名单，信用信息共享平台包括但不限于“国家企业信用信息公示系统”、“中国执行信息公开网”、“天眼查”“裁判文书网”等信息平台。</w:t>
      </w:r>
    </w:p>
    <w:p w14:paraId="5F3906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8、投标单位的直接或间接股东、法定代表人、董事、监事、高管非重汽员工及其亲属。</w:t>
      </w:r>
    </w:p>
    <w:p w14:paraId="2F8A74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9、不接受联合体投标。</w:t>
      </w:r>
    </w:p>
    <w:p w14:paraId="51CA03DF">
      <w:pPr>
        <w:pStyle w:val="6"/>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10、必须具有1年以上相关工作经历和成功的类似案例。</w:t>
      </w:r>
    </w:p>
    <w:p w14:paraId="64CDEC52">
      <w:pPr>
        <w:pStyle w:val="6"/>
        <w:spacing w:line="360" w:lineRule="auto"/>
        <w:ind w:firstLine="422" w:firstLineChars="200"/>
        <w:rPr>
          <w:rFonts w:hint="eastAsia"/>
          <w:b/>
          <w:highlight w:val="none"/>
        </w:rPr>
      </w:pPr>
      <w:r>
        <w:rPr>
          <w:rFonts w:hint="eastAsia"/>
          <w:b/>
        </w:rPr>
        <w:t>2.投标文件格式</w:t>
      </w:r>
    </w:p>
    <w:p w14:paraId="64A790F7">
      <w:pPr>
        <w:pStyle w:val="6"/>
        <w:spacing w:line="360" w:lineRule="auto"/>
        <w:ind w:firstLine="422" w:firstLineChars="200"/>
        <w:rPr>
          <w:rFonts w:hint="eastAsia"/>
          <w:b/>
        </w:rPr>
      </w:pPr>
      <w:r>
        <w:rPr>
          <w:rFonts w:hint="eastAsia"/>
          <w:b/>
        </w:rPr>
        <w:t>（1）资质文件</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1" w:name="_Toc47976601"/>
      <w:r>
        <w:rPr>
          <w:rFonts w:hint="eastAsia" w:ascii="宋体" w:hAnsi="Courier New" w:eastAsia="宋体" w:cs="Times New Roman"/>
          <w:kern w:val="2"/>
          <w:sz w:val="21"/>
          <w:highlight w:val="none"/>
          <w:lang w:val="en-US" w:eastAsia="zh-CN" w:bidi="ar-SA"/>
        </w:rPr>
        <w:t>1、法定代表人身份证明</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30643B9F">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、证明投标人满足投标资料表中列出的业绩要求的文件：近三年（2022年1月1日至今）类似项目业绩及合同复印件（加盖公章，须有客户联系方式及联系人以供招标人核实确认）。</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588ACDE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、投标人应具有相应生产证明，若为代理商需具备厂家授权。</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bookmarkEnd w:id="1"/>
    <w:p w14:paraId="609F8F44">
      <w:pPr>
        <w:pStyle w:val="6"/>
        <w:spacing w:line="360" w:lineRule="auto"/>
        <w:ind w:firstLine="422" w:firstLineChars="200"/>
        <w:rPr>
          <w:rFonts w:hint="eastAsia"/>
          <w:b/>
        </w:rPr>
      </w:pPr>
      <w:r>
        <w:rPr>
          <w:rFonts w:hint="eastAsia"/>
          <w:b/>
        </w:rPr>
        <w:t>(</w:t>
      </w:r>
      <w:r>
        <w:rPr>
          <w:rFonts w:hint="eastAsia"/>
          <w:b/>
          <w:lang w:val="en-US" w:eastAsia="zh-CN"/>
        </w:rPr>
        <w:t>2</w:t>
      </w:r>
      <w:r>
        <w:rPr>
          <w:rFonts w:hint="eastAsia"/>
          <w:b/>
        </w:rPr>
        <w:t>) 商务标</w:t>
      </w:r>
    </w:p>
    <w:p w14:paraId="4F5BA4F9">
      <w:pPr>
        <w:pStyle w:val="6"/>
        <w:spacing w:line="360" w:lineRule="auto"/>
        <w:ind w:firstLine="422" w:firstLineChars="200"/>
        <w:rPr>
          <w:b/>
          <w:bCs w:val="0"/>
          <w:highlight w:val="none"/>
        </w:rPr>
      </w:pPr>
      <w:r>
        <w:rPr>
          <w:rFonts w:hint="eastAsia"/>
          <w:b/>
          <w:bCs w:val="0"/>
          <w:highlight w:val="none"/>
          <w:lang w:val="en-US" w:eastAsia="zh-CN"/>
        </w:rPr>
        <w:t>1、</w:t>
      </w:r>
      <w:r>
        <w:rPr>
          <w:rFonts w:hint="eastAsia"/>
          <w:b/>
          <w:bCs w:val="0"/>
          <w:highlight w:val="none"/>
        </w:rPr>
        <w:t>投标函；</w:t>
      </w:r>
    </w:p>
    <w:p w14:paraId="01B22EC5">
      <w:pPr>
        <w:pStyle w:val="6"/>
        <w:spacing w:line="360" w:lineRule="auto"/>
        <w:ind w:firstLine="422" w:firstLineChars="200"/>
        <w:rPr>
          <w:b/>
          <w:bCs w:val="0"/>
          <w:highlight w:val="none"/>
        </w:rPr>
      </w:pPr>
      <w:r>
        <w:rPr>
          <w:rFonts w:hint="eastAsia"/>
          <w:b/>
          <w:bCs w:val="0"/>
          <w:highlight w:val="none"/>
          <w:lang w:val="en-US" w:eastAsia="zh-CN"/>
        </w:rPr>
        <w:t>2、</w:t>
      </w:r>
      <w:r>
        <w:rPr>
          <w:rFonts w:hint="eastAsia"/>
          <w:b/>
          <w:bCs w:val="0"/>
          <w:highlight w:val="none"/>
        </w:rPr>
        <w:t>开标一览表；</w:t>
      </w:r>
    </w:p>
    <w:p w14:paraId="36F12D36">
      <w:pPr>
        <w:pStyle w:val="6"/>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hAnsi="Courier New" w:eastAsia="宋体" w:cs="Times New Roman"/>
          <w:b/>
          <w:bCs w:val="0"/>
          <w:highlight w:val="none"/>
          <w:lang w:eastAsia="zh-CN"/>
        </w:rPr>
        <w:t>；</w:t>
      </w:r>
    </w:p>
    <w:p w14:paraId="5645C824">
      <w:pPr>
        <w:pStyle w:val="6"/>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24A5AFE8">
      <w:pPr>
        <w:pStyle w:val="6"/>
        <w:spacing w:line="360" w:lineRule="auto"/>
        <w:ind w:firstLine="420" w:firstLineChars="2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462EAF85">
      <w:pPr>
        <w:pStyle w:val="6"/>
        <w:spacing w:line="360" w:lineRule="auto"/>
        <w:ind w:firstLine="420" w:firstLineChars="200"/>
        <w:rPr>
          <w:rFonts w:hint="default" w:eastAsia="宋体"/>
          <w:highlight w:val="none"/>
          <w:lang w:val="en-US" w:eastAsia="zh-CN"/>
        </w:rPr>
      </w:pPr>
      <w:r>
        <w:rPr>
          <w:rFonts w:hint="eastAsia" w:ascii="宋体" w:hAnsi="宋体"/>
          <w:highlight w:val="none"/>
        </w:rPr>
        <w:t>⑵</w:t>
      </w:r>
      <w:r>
        <w:rPr>
          <w:rFonts w:hint="eastAsia" w:ascii="宋体" w:hAnsi="宋体"/>
          <w:highlight w:val="none"/>
          <w:lang w:val="en-US" w:eastAsia="zh-CN"/>
        </w:rPr>
        <w:t>投标方报价上限</w:t>
      </w:r>
      <w:r>
        <w:rPr>
          <w:rFonts w:hint="eastAsia" w:ascii="宋体" w:hAnsi="宋体"/>
          <w:b/>
          <w:bCs/>
          <w:highlight w:val="none"/>
          <w:lang w:val="en-US" w:eastAsia="zh-CN"/>
        </w:rPr>
        <w:t>3.883168</w:t>
      </w:r>
      <w:r>
        <w:rPr>
          <w:rFonts w:hint="eastAsia" w:ascii="宋体" w:hAnsi="宋体"/>
          <w:highlight w:val="none"/>
          <w:lang w:val="en-US" w:eastAsia="zh-CN"/>
        </w:rPr>
        <w:t>万元（含税）；</w:t>
      </w:r>
    </w:p>
    <w:p w14:paraId="180D368F">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13EFA712">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55C76DB3">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4DA2F9A0">
      <w:pPr>
        <w:spacing w:line="360" w:lineRule="auto"/>
        <w:ind w:firstLine="420" w:firstLineChars="200"/>
        <w:rPr>
          <w:rFonts w:hint="eastAsia" w:hAnsi="宋体"/>
          <w:highlight w:val="none"/>
        </w:rPr>
      </w:pPr>
      <w:r>
        <w:rPr>
          <w:rFonts w:hint="eastAsia" w:hAnsi="宋体"/>
          <w:highlight w:val="none"/>
        </w:rPr>
        <w:t>⑸投标价格含合同签订的委托检验检测、测试报告编制、提供中文版校验报告及合同包含的所有风险、责任等各项应有费用。评标小组有权根据报价情况要求所有投标人进行澄清。</w:t>
      </w:r>
    </w:p>
    <w:p w14:paraId="16B2F163">
      <w:pPr>
        <w:spacing w:line="360" w:lineRule="auto"/>
        <w:ind w:firstLine="420" w:firstLineChars="200"/>
        <w:rPr>
          <w:rFonts w:hint="eastAsia" w:hAnsi="宋体"/>
          <w:highlight w:val="none"/>
        </w:rPr>
      </w:pPr>
      <w:r>
        <w:rPr>
          <w:rFonts w:hint="eastAsia" w:hAnsi="宋体"/>
          <w:highlight w:val="none"/>
        </w:rPr>
        <w:t>⑹投标人所提供的单价和合价在合同实施期间不因市场变化因素而变动，投标人在计算报价时可考虑一定的风险系数；凡漏项报价者，中标后不得调整价格。</w:t>
      </w:r>
      <w:r>
        <w:rPr>
          <w:rFonts w:hint="eastAsia" w:hAnsi="宋体"/>
          <w:highlight w:val="none"/>
          <w:lang w:eastAsia="zh-CN"/>
        </w:rPr>
        <w:t>（</w:t>
      </w:r>
      <w:r>
        <w:rPr>
          <w:rFonts w:hint="eastAsia" w:hAnsi="宋体"/>
          <w:highlight w:val="none"/>
        </w:rPr>
        <w:t>报价应明确含税价格，不含税价格以及开具发票税率）。</w:t>
      </w:r>
    </w:p>
    <w:p w14:paraId="052ECD14">
      <w:pPr>
        <w:spacing w:line="360" w:lineRule="auto"/>
        <w:ind w:firstLine="420" w:firstLineChars="200"/>
        <w:rPr>
          <w:rFonts w:hint="eastAsia" w:hAnsi="宋体" w:eastAsia="宋体"/>
          <w:highlight w:val="none"/>
          <w:lang w:val="en-US"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106FB2E2">
      <w:pPr>
        <w:pStyle w:val="6"/>
        <w:numPr>
          <w:ilvl w:val="0"/>
          <w:numId w:val="0"/>
        </w:numPr>
        <w:spacing w:line="360" w:lineRule="auto"/>
        <w:ind w:firstLine="422" w:firstLineChars="200"/>
        <w:rPr>
          <w:rFonts w:hint="eastAsia" w:ascii="Calibri" w:hAnsi="Calibri"/>
          <w:highlight w:val="none"/>
        </w:rPr>
      </w:pPr>
      <w:r>
        <w:rPr>
          <w:rFonts w:hint="eastAsia"/>
          <w:b/>
          <w:highlight w:val="none"/>
          <w:lang w:val="en-US" w:eastAsia="zh-CN"/>
        </w:rPr>
        <w:t>5、</w:t>
      </w:r>
      <w:r>
        <w:rPr>
          <w:rFonts w:hint="eastAsia"/>
          <w:b/>
          <w:highlight w:val="none"/>
        </w:rPr>
        <w:t>付款方式：</w:t>
      </w:r>
      <w:r>
        <w:rPr>
          <w:rFonts w:hint="eastAsia" w:ascii="宋体" w:hAnsi="Courier New" w:eastAsia="宋体" w:cs="Times New Roman"/>
          <w:bCs/>
          <w:highlight w:val="none"/>
          <w:u w:val="single"/>
          <w:lang w:val="en-US" w:eastAsia="zh-CN"/>
        </w:rPr>
        <w:t>验收通过后，</w:t>
      </w:r>
      <w:r>
        <w:rPr>
          <w:rFonts w:hint="eastAsia" w:eastAsia="宋体" w:cs="Times New Roman"/>
          <w:bCs/>
          <w:highlight w:val="none"/>
          <w:u w:val="single"/>
          <w:lang w:val="en-US" w:eastAsia="zh-CN"/>
        </w:rPr>
        <w:t>并</w:t>
      </w:r>
      <w:r>
        <w:rPr>
          <w:rFonts w:hint="eastAsia"/>
          <w:bCs/>
          <w:highlight w:val="none"/>
          <w:u w:val="single"/>
        </w:rPr>
        <w:t>对发票进行确认</w:t>
      </w:r>
      <w:r>
        <w:rPr>
          <w:rFonts w:hint="eastAsia"/>
          <w:bCs/>
          <w:highlight w:val="none"/>
          <w:u w:val="single"/>
          <w:lang w:val="en-US" w:eastAsia="zh-CN"/>
        </w:rPr>
        <w:t>后</w:t>
      </w:r>
      <w:r>
        <w:rPr>
          <w:rFonts w:hint="eastAsia"/>
          <w:bCs/>
          <w:highlight w:val="none"/>
          <w:u w:val="single"/>
        </w:rPr>
        <w:t>支付</w:t>
      </w:r>
      <w:r>
        <w:rPr>
          <w:rFonts w:hint="eastAsia" w:ascii="Calibri" w:hAnsi="Calibri"/>
          <w:bCs/>
          <w:highlight w:val="none"/>
        </w:rPr>
        <w:t>，具体以</w:t>
      </w:r>
      <w:r>
        <w:rPr>
          <w:rFonts w:hint="eastAsia" w:ascii="Calibri" w:hAnsi="Calibri"/>
          <w:highlight w:val="none"/>
        </w:rPr>
        <w:t>双方最终签署的合同为准。</w:t>
      </w:r>
    </w:p>
    <w:p w14:paraId="39C2801D">
      <w:pPr>
        <w:pStyle w:val="6"/>
        <w:numPr>
          <w:ilvl w:val="0"/>
          <w:numId w:val="0"/>
        </w:numPr>
        <w:spacing w:line="360" w:lineRule="auto"/>
        <w:ind w:firstLine="422" w:firstLineChars="200"/>
        <w:rPr>
          <w:rFonts w:hint="eastAsia" w:ascii="Calibri" w:hAnsi="Calibri"/>
          <w:highlight w:val="none"/>
        </w:rPr>
      </w:pP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512A67C6">
      <w:pPr>
        <w:pStyle w:val="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①按照要求保质保量完成检验检测服务，出具锅炉能效测试报告，委托方提交下列单据经招标方审核无误后，招标方一次性付给委托方锅炉能效测试检验费</w:t>
      </w:r>
      <w:r>
        <w:rPr>
          <w:rFonts w:hint="eastAsia" w:ascii="Calibri" w:hAnsi="Calibri"/>
          <w:highlight w:val="none"/>
          <w:lang w:eastAsia="zh-CN"/>
        </w:rPr>
        <w:t>，</w:t>
      </w:r>
      <w:r>
        <w:rPr>
          <w:rFonts w:hint="eastAsia" w:ascii="Calibri" w:hAnsi="Calibri"/>
          <w:highlight w:val="none"/>
          <w:lang w:val="en-US" w:eastAsia="zh-CN"/>
        </w:rPr>
        <w:t>账期：30天</w:t>
      </w:r>
      <w:r>
        <w:rPr>
          <w:rFonts w:hint="eastAsia" w:ascii="Calibri" w:hAnsi="Calibri"/>
          <w:highlight w:val="none"/>
        </w:rPr>
        <w:t>。</w:t>
      </w:r>
    </w:p>
    <w:p w14:paraId="1611F072">
      <w:pPr>
        <w:pStyle w:val="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A金额为合同总额</w:t>
      </w:r>
      <w:r>
        <w:rPr>
          <w:rFonts w:hint="eastAsia" w:ascii="Calibri" w:hAnsi="Calibri"/>
          <w:highlight w:val="none"/>
          <w:u w:val="single"/>
        </w:rPr>
        <w:t xml:space="preserve"> 100%</w:t>
      </w:r>
      <w:r>
        <w:rPr>
          <w:rFonts w:hint="eastAsia" w:ascii="Calibri" w:hAnsi="Calibri"/>
          <w:highlight w:val="none"/>
        </w:rPr>
        <w:t>的增值税专用发票。</w:t>
      </w:r>
    </w:p>
    <w:p w14:paraId="6C3408F3">
      <w:pPr>
        <w:pStyle w:val="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B</w:t>
      </w:r>
      <w:r>
        <w:rPr>
          <w:rFonts w:hint="eastAsia" w:ascii="Calibri" w:hAnsi="Calibri"/>
          <w:highlight w:val="none"/>
          <w:lang w:val="en-US" w:eastAsia="zh-CN"/>
        </w:rPr>
        <w:t xml:space="preserve"> </w:t>
      </w:r>
      <w:r>
        <w:rPr>
          <w:rFonts w:hint="eastAsia" w:ascii="Calibri" w:hAnsi="Calibri"/>
          <w:highlight w:val="none"/>
          <w:u w:val="single"/>
          <w:lang w:val="en-US" w:eastAsia="zh-CN"/>
        </w:rPr>
        <w:t>10</w:t>
      </w:r>
      <w:r>
        <w:rPr>
          <w:rFonts w:hint="eastAsia" w:ascii="Calibri" w:hAnsi="Calibri"/>
          <w:highlight w:val="none"/>
          <w:u w:val="single"/>
        </w:rPr>
        <w:t>0%</w:t>
      </w:r>
      <w:r>
        <w:rPr>
          <w:rFonts w:hint="eastAsia" w:ascii="Calibri" w:hAnsi="Calibri"/>
          <w:highlight w:val="none"/>
        </w:rPr>
        <w:t>付款额为财务收据。</w:t>
      </w:r>
    </w:p>
    <w:p w14:paraId="4DF79E3E">
      <w:pPr>
        <w:pStyle w:val="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C财务授权书及相关付款所需资料。</w:t>
      </w:r>
    </w:p>
    <w:p w14:paraId="5B2DF202">
      <w:pPr>
        <w:pStyle w:val="6"/>
        <w:spacing w:line="360" w:lineRule="auto"/>
        <w:ind w:firstLine="422" w:firstLineChars="200"/>
        <w:rPr>
          <w:rFonts w:hint="eastAsia" w:hAnsi="Courier New" w:eastAsia="宋体" w:cs="Times New Roman"/>
          <w:bCs/>
          <w:highlight w:val="none"/>
        </w:rPr>
      </w:pPr>
      <w:r>
        <w:rPr>
          <w:rFonts w:hint="eastAsia" w:hAnsi="Courier New" w:eastAsia="宋体" w:cs="Times New Roman"/>
          <w:b/>
          <w:bCs w:val="0"/>
          <w:highlight w:val="none"/>
          <w:lang w:val="en-US" w:eastAsia="zh-CN"/>
        </w:rPr>
        <w:t>6、</w:t>
      </w:r>
      <w:r>
        <w:rPr>
          <w:rFonts w:hint="eastAsia" w:hAnsi="Courier New" w:eastAsia="宋体" w:cs="Times New Roman"/>
          <w:bCs/>
          <w:highlight w:val="none"/>
        </w:rPr>
        <w:t>所有投标文件需进行正规封装、胶装，不接受活页、散装等方式的投标文资料。</w:t>
      </w:r>
    </w:p>
    <w:p w14:paraId="1629B102">
      <w:pPr>
        <w:pStyle w:val="6"/>
        <w:spacing w:line="360" w:lineRule="auto"/>
        <w:ind w:firstLine="420" w:firstLineChars="200"/>
        <w:rPr>
          <w:rFonts w:hint="eastAsia" w:hAnsi="Courier New" w:eastAsia="宋体" w:cs="Times New Roman"/>
          <w:bCs/>
          <w:highlight w:val="none"/>
        </w:rPr>
      </w:pPr>
      <w:r>
        <w:rPr>
          <w:rFonts w:hint="eastAsia" w:hAnsi="Courier New" w:eastAsia="宋体" w:cs="Times New Roman"/>
          <w:bCs/>
          <w:highlight w:val="none"/>
        </w:rPr>
        <w:t>所有投标文件均需提供电子版文件（不加密）统一存储在一个独立封装的U盘内（电子版要求详见投标文件格式）。</w:t>
      </w:r>
    </w:p>
    <w:p w14:paraId="270A4600">
      <w:pPr>
        <w:spacing w:line="360" w:lineRule="auto"/>
        <w:ind w:firstLine="422" w:firstLineChars="200"/>
        <w:rPr>
          <w:rFonts w:ascii="宋体" w:cs="宋体"/>
        </w:rPr>
      </w:pPr>
      <w:r>
        <w:rPr>
          <w:rFonts w:hint="eastAsia" w:hAnsi="Courier New" w:eastAsia="宋体" w:cs="Times New Roman"/>
          <w:b/>
          <w:bCs w:val="0"/>
          <w:highlight w:val="none"/>
          <w:lang w:val="en-US" w:eastAsia="zh-CN"/>
        </w:rPr>
        <w:t>7、</w:t>
      </w:r>
      <w:r>
        <w:rPr>
          <w:rFonts w:hint="eastAsia" w:ascii="宋体" w:hAnsi="宋体" w:cs="宋体"/>
        </w:rPr>
        <w:t>投标文件不得涂改和增删，如有修改错漏的地方，必须由法人代表或授权代表签字或盖章。</w:t>
      </w:r>
    </w:p>
    <w:p w14:paraId="297E3BE1">
      <w:pPr>
        <w:spacing w:line="360" w:lineRule="auto"/>
        <w:ind w:firstLine="422" w:firstLineChars="200"/>
        <w:rPr>
          <w:rFonts w:hint="eastAsia" w:ascii="宋体" w:hAnsi="宋体" w:cs="宋体"/>
        </w:rPr>
      </w:pPr>
      <w:r>
        <w:rPr>
          <w:rFonts w:hint="eastAsia" w:ascii="宋体" w:hAnsi="宋体" w:cs="宋体"/>
          <w:b/>
          <w:bCs/>
          <w:lang w:val="en-US" w:eastAsia="zh-CN"/>
        </w:rPr>
        <w:t>8</w:t>
      </w:r>
      <w:r>
        <w:rPr>
          <w:rFonts w:hint="eastAsia" w:ascii="宋体" w:hAnsi="宋体" w:cs="宋体"/>
          <w:b/>
          <w:bCs/>
        </w:rPr>
        <w:t>、</w:t>
      </w:r>
      <w:r>
        <w:rPr>
          <w:rFonts w:hint="eastAsia" w:ascii="宋体" w:hAnsi="宋体" w:cs="宋体"/>
        </w:rPr>
        <w:t>投标文件因字迹潦草或表达不清所引起的后果由投标人负责。</w:t>
      </w:r>
    </w:p>
    <w:p w14:paraId="088FE374">
      <w:pPr>
        <w:spacing w:line="360" w:lineRule="auto"/>
        <w:ind w:firstLine="422" w:firstLineChars="200"/>
        <w:rPr>
          <w:rFonts w:hint="eastAsia" w:ascii="宋体" w:hAnsi="宋体" w:cs="宋体"/>
          <w:lang w:val="en-US" w:eastAsia="zh-CN"/>
        </w:rPr>
      </w:pPr>
      <w:r>
        <w:rPr>
          <w:rFonts w:hint="eastAsia" w:ascii="宋体" w:hAnsi="宋体" w:cs="宋体"/>
          <w:b/>
          <w:bCs/>
          <w:lang w:val="en-US" w:eastAsia="zh-CN"/>
        </w:rPr>
        <w:t>9、</w:t>
      </w:r>
      <w:r>
        <w:rPr>
          <w:rFonts w:hint="eastAsia" w:ascii="宋体" w:hAnsi="宋体" w:cs="宋体"/>
          <w:lang w:val="en-US" w:eastAsia="zh-CN"/>
        </w:rPr>
        <w:t>投标文件格式详见标书附件。</w:t>
      </w:r>
    </w:p>
    <w:p w14:paraId="38BA47C5">
      <w:pPr>
        <w:pStyle w:val="6"/>
        <w:numPr>
          <w:ilvl w:val="0"/>
          <w:numId w:val="0"/>
        </w:numPr>
        <w:spacing w:line="360" w:lineRule="auto"/>
        <w:rPr>
          <w:rFonts w:hint="eastAsia"/>
          <w:b/>
        </w:rPr>
      </w:pPr>
    </w:p>
    <w:p w14:paraId="3A3A4146">
      <w:pPr>
        <w:pStyle w:val="6"/>
        <w:spacing w:line="360" w:lineRule="auto"/>
        <w:rPr>
          <w:rFonts w:hint="eastAsia" w:ascii="黑体" w:eastAsia="黑体"/>
          <w:b/>
          <w:bCs/>
          <w:sz w:val="28"/>
        </w:rPr>
      </w:pPr>
      <w:r>
        <w:rPr>
          <w:rFonts w:hint="eastAsia" w:ascii="黑体" w:eastAsia="黑体"/>
          <w:b/>
          <w:bCs/>
          <w:sz w:val="28"/>
        </w:rPr>
        <w:t>七、投标、开标、评标</w:t>
      </w:r>
    </w:p>
    <w:p w14:paraId="4E3A1A95">
      <w:pPr>
        <w:pStyle w:val="6"/>
        <w:spacing w:line="360" w:lineRule="auto"/>
        <w:ind w:firstLine="420" w:firstLineChars="200"/>
        <w:rPr>
          <w:rFonts w:hint="eastAsia"/>
        </w:rPr>
      </w:pPr>
      <w:r>
        <w:rPr>
          <w:rFonts w:hint="eastAsia"/>
        </w:rPr>
        <w:t>1.投标保证金：</w:t>
      </w:r>
    </w:p>
    <w:p w14:paraId="4A581037">
      <w:pPr>
        <w:pStyle w:val="20"/>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投标人应提交人民币5000元 投标保证金，电子回单请注明：（设备动能部（王艳）党家厂区锅炉能效检测项目投标保证金）</w:t>
      </w:r>
      <w:r>
        <w:rPr>
          <w:rFonts w:hint="eastAsia" w:ascii="宋体" w:hAnsi="Courier New" w:eastAsia="宋体" w:cs="Times New Roman"/>
          <w:color w:val="auto"/>
          <w:kern w:val="2"/>
          <w:sz w:val="21"/>
          <w:szCs w:val="20"/>
          <w:lang w:val="en-US" w:eastAsia="zh-CN" w:bidi="ar-SA"/>
        </w:rPr>
        <w:br w:type="textWrapping"/>
      </w:r>
      <w:r>
        <w:rPr>
          <w:rFonts w:hint="eastAsia" w:hAnsi="Courier New" w:eastAsia="宋体" w:cs="Times New Roman"/>
          <w:color w:val="auto"/>
          <w:kern w:val="2"/>
          <w:sz w:val="21"/>
          <w:szCs w:val="20"/>
          <w:lang w:val="en-US" w:eastAsia="zh-CN" w:bidi="ar-SA"/>
        </w:rPr>
        <w:tab/>
      </w:r>
      <w:r>
        <w:rPr>
          <w:rFonts w:hint="eastAsia" w:ascii="宋体" w:hAnsi="Courier New" w:eastAsia="宋体" w:cs="Times New Roman"/>
          <w:color w:val="auto"/>
          <w:kern w:val="2"/>
          <w:sz w:val="21"/>
          <w:szCs w:val="20"/>
          <w:lang w:val="en-US" w:eastAsia="zh-CN" w:bidi="ar-SA"/>
        </w:rPr>
        <w:t>投币保证金交付形式：电汇。</w:t>
      </w:r>
      <w:r>
        <w:rPr>
          <w:rFonts w:hint="eastAsia" w:ascii="宋体" w:hAnsi="Courier New" w:eastAsia="宋体" w:cs="Times New Roman"/>
          <w:color w:val="auto"/>
          <w:kern w:val="2"/>
          <w:sz w:val="21"/>
          <w:szCs w:val="20"/>
          <w:lang w:val="en-US" w:eastAsia="zh-CN" w:bidi="ar-SA"/>
        </w:rPr>
        <w:br w:type="textWrapping"/>
      </w:r>
      <w:r>
        <w:rPr>
          <w:rFonts w:hint="eastAsia" w:hAnsi="Courier New" w:eastAsia="宋体" w:cs="Times New Roman"/>
          <w:color w:val="auto"/>
          <w:kern w:val="2"/>
          <w:sz w:val="21"/>
          <w:szCs w:val="20"/>
          <w:lang w:val="en-US" w:eastAsia="zh-CN" w:bidi="ar-SA"/>
        </w:rPr>
        <w:tab/>
      </w:r>
      <w:r>
        <w:rPr>
          <w:rFonts w:hint="eastAsia" w:ascii="宋体" w:hAnsi="Courier New" w:eastAsia="宋体" w:cs="Times New Roman"/>
          <w:color w:val="auto"/>
          <w:kern w:val="2"/>
          <w:sz w:val="21"/>
          <w:szCs w:val="20"/>
          <w:lang w:val="en-US" w:eastAsia="zh-CN" w:bidi="ar-SA"/>
        </w:rPr>
        <w:t>账户信息：</w:t>
      </w:r>
      <w:r>
        <w:rPr>
          <w:rFonts w:hint="eastAsia" w:ascii="宋体" w:hAnsi="Courier New" w:eastAsia="宋体" w:cs="Times New Roman"/>
          <w:color w:val="auto"/>
          <w:kern w:val="2"/>
          <w:sz w:val="21"/>
          <w:szCs w:val="20"/>
          <w:lang w:val="en-US" w:eastAsia="zh-CN" w:bidi="ar-SA"/>
        </w:rPr>
        <w:br w:type="textWrapping"/>
      </w:r>
      <w:r>
        <w:rPr>
          <w:rFonts w:hint="eastAsia" w:ascii="宋体" w:hAnsi="Courier New" w:eastAsia="宋体" w:cs="Times New Roman"/>
          <w:color w:val="auto"/>
          <w:kern w:val="2"/>
          <w:sz w:val="21"/>
          <w:szCs w:val="20"/>
          <w:lang w:val="en-US" w:eastAsia="zh-CN" w:bidi="ar-SA"/>
        </w:rPr>
        <w:t>名称：中国重汽集团济南卡车股份有限公司</w:t>
      </w:r>
      <w:r>
        <w:rPr>
          <w:rFonts w:hint="eastAsia" w:ascii="宋体" w:hAnsi="Courier New" w:eastAsia="宋体" w:cs="Times New Roman"/>
          <w:color w:val="auto"/>
          <w:kern w:val="2"/>
          <w:sz w:val="21"/>
          <w:szCs w:val="20"/>
          <w:lang w:val="en-US" w:eastAsia="zh-CN" w:bidi="ar-SA"/>
        </w:rPr>
        <w:br w:type="textWrapping"/>
      </w:r>
      <w:r>
        <w:rPr>
          <w:rFonts w:hint="eastAsia" w:ascii="宋体" w:hAnsi="Courier New" w:eastAsia="宋体" w:cs="Times New Roman"/>
          <w:color w:val="auto"/>
          <w:kern w:val="2"/>
          <w:sz w:val="21"/>
          <w:szCs w:val="20"/>
          <w:lang w:val="en-US" w:eastAsia="zh-CN" w:bidi="ar-SA"/>
        </w:rPr>
        <w:t>帐号：531900051810601</w:t>
      </w:r>
      <w:r>
        <w:rPr>
          <w:rFonts w:hint="eastAsia" w:ascii="宋体" w:hAnsi="Courier New" w:eastAsia="宋体" w:cs="Times New Roman"/>
          <w:color w:val="auto"/>
          <w:kern w:val="2"/>
          <w:sz w:val="21"/>
          <w:szCs w:val="20"/>
          <w:lang w:val="en-US" w:eastAsia="zh-CN" w:bidi="ar-SA"/>
        </w:rPr>
        <w:br w:type="textWrapping"/>
      </w:r>
      <w:r>
        <w:rPr>
          <w:rFonts w:hint="eastAsia" w:ascii="宋体" w:hAnsi="Courier New" w:eastAsia="宋体" w:cs="Times New Roman"/>
          <w:color w:val="auto"/>
          <w:kern w:val="2"/>
          <w:sz w:val="21"/>
          <w:szCs w:val="20"/>
          <w:lang w:val="en-US" w:eastAsia="zh-CN" w:bidi="ar-SA"/>
        </w:rPr>
        <w:t>户名：中国重汽集团济南卡车股份有限公司</w:t>
      </w:r>
      <w:r>
        <w:rPr>
          <w:rFonts w:hint="eastAsia" w:ascii="宋体" w:hAnsi="Courier New" w:eastAsia="宋体" w:cs="Times New Roman"/>
          <w:color w:val="auto"/>
          <w:kern w:val="2"/>
          <w:sz w:val="21"/>
          <w:szCs w:val="20"/>
          <w:lang w:val="en-US" w:eastAsia="zh-CN" w:bidi="ar-SA"/>
        </w:rPr>
        <w:br w:type="textWrapping"/>
      </w:r>
      <w:r>
        <w:rPr>
          <w:rFonts w:hint="eastAsia" w:ascii="宋体" w:hAnsi="Courier New" w:eastAsia="宋体" w:cs="Times New Roman"/>
          <w:color w:val="auto"/>
          <w:kern w:val="2"/>
          <w:sz w:val="21"/>
          <w:szCs w:val="20"/>
          <w:lang w:val="en-US" w:eastAsia="zh-CN" w:bidi="ar-SA"/>
        </w:rPr>
        <w:t>开户行：招商银行股份有限公司济南分行营业部</w:t>
      </w:r>
      <w:r>
        <w:rPr>
          <w:rFonts w:hint="eastAsia" w:ascii="宋体" w:hAnsi="Courier New" w:eastAsia="宋体" w:cs="Times New Roman"/>
          <w:color w:val="auto"/>
          <w:kern w:val="2"/>
          <w:sz w:val="21"/>
          <w:szCs w:val="20"/>
          <w:lang w:val="en-US" w:eastAsia="zh-CN" w:bidi="ar-SA"/>
        </w:rPr>
        <w:br w:type="textWrapping"/>
      </w:r>
      <w:r>
        <w:rPr>
          <w:rFonts w:hint="eastAsia" w:ascii="宋体" w:hAnsi="Courier New" w:eastAsia="宋体" w:cs="Times New Roman"/>
          <w:color w:val="auto"/>
          <w:kern w:val="2"/>
          <w:sz w:val="21"/>
          <w:szCs w:val="20"/>
          <w:lang w:val="en-US" w:eastAsia="zh-CN" w:bidi="ar-SA"/>
        </w:rPr>
        <w:t>联行号：308451028020</w:t>
      </w:r>
    </w:p>
    <w:p w14:paraId="427458D6">
      <w:pPr>
        <w:pStyle w:val="20"/>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1FD177E5">
      <w:pPr>
        <w:pStyle w:val="6"/>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14:paraId="78BB9DE2">
      <w:pPr>
        <w:pStyle w:val="6"/>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6"/>
        <w:spacing w:line="360" w:lineRule="auto"/>
        <w:ind w:firstLine="420" w:firstLineChars="200"/>
        <w:rPr>
          <w:rFonts w:hint="eastAsia"/>
        </w:rPr>
      </w:pPr>
      <w:r>
        <w:rPr>
          <w:rFonts w:hint="eastAsia"/>
        </w:rPr>
        <w:t>(b)投标人在向招标人出示《投标保证金缴纳凭证》后方可进行投标。</w:t>
      </w:r>
    </w:p>
    <w:p w14:paraId="25EDD17B">
      <w:pPr>
        <w:pStyle w:val="6"/>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14:paraId="4A78781A">
      <w:pPr>
        <w:pStyle w:val="6"/>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14:paraId="02367AB3">
      <w:pPr>
        <w:pStyle w:val="6"/>
        <w:spacing w:line="360" w:lineRule="auto"/>
        <w:ind w:firstLine="420" w:firstLineChars="200"/>
        <w:rPr>
          <w:rFonts w:hint="eastAsia"/>
          <w:szCs w:val="22"/>
        </w:rPr>
      </w:pPr>
      <w:r>
        <w:rPr>
          <w:rFonts w:hint="eastAsia"/>
          <w:szCs w:val="22"/>
        </w:rPr>
        <w:t>b）投标人递送投标文件后，无正当理由放弃投标的；</w:t>
      </w:r>
    </w:p>
    <w:p w14:paraId="57BC6CE6">
      <w:pPr>
        <w:pStyle w:val="6"/>
        <w:spacing w:line="360" w:lineRule="auto"/>
        <w:ind w:firstLine="420" w:firstLineChars="200"/>
        <w:rPr>
          <w:rFonts w:hint="eastAsia"/>
          <w:szCs w:val="22"/>
        </w:rPr>
      </w:pPr>
      <w:r>
        <w:rPr>
          <w:rFonts w:hint="eastAsia"/>
          <w:szCs w:val="22"/>
        </w:rPr>
        <w:t>c）自中标通知书发出之日起30日内，中标人无正当理由不签订合同的；</w:t>
      </w:r>
    </w:p>
    <w:p w14:paraId="1526EC32">
      <w:pPr>
        <w:pStyle w:val="6"/>
        <w:spacing w:line="360" w:lineRule="auto"/>
        <w:ind w:firstLine="420" w:firstLineChars="200"/>
        <w:rPr>
          <w:rFonts w:hint="eastAsia"/>
          <w:szCs w:val="22"/>
        </w:rPr>
      </w:pPr>
      <w:r>
        <w:rPr>
          <w:rFonts w:hint="eastAsia"/>
          <w:szCs w:val="22"/>
        </w:rPr>
        <w:t>d）投标人在投标过程中被查实有串标、围标、陪标等违规违纪行为的；</w:t>
      </w:r>
    </w:p>
    <w:p w14:paraId="5B859DB6">
      <w:pPr>
        <w:pStyle w:val="6"/>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14:paraId="31A6BAC8">
      <w:pPr>
        <w:pStyle w:val="6"/>
        <w:spacing w:line="360" w:lineRule="auto"/>
        <w:ind w:firstLine="420" w:firstLineChars="200"/>
        <w:rPr>
          <w:rFonts w:hint="eastAsia" w:eastAsia="宋体"/>
          <w:lang w:eastAsia="zh-CN"/>
        </w:rPr>
      </w:pPr>
      <w:r>
        <w:rPr>
          <w:rFonts w:hint="eastAsia"/>
        </w:rPr>
        <w:t>2.开</w:t>
      </w:r>
      <w:r>
        <w:rPr>
          <w:rFonts w:hint="eastAsia"/>
          <w:lang w:val="en-US" w:eastAsia="zh-CN"/>
        </w:rPr>
        <w:t>评标：评标方法：资质标审核→技术方案讲解→商务标评审。原则上选取合理最低价中标。</w:t>
      </w:r>
    </w:p>
    <w:p w14:paraId="1E0D3F70">
      <w:pPr>
        <w:pStyle w:val="6"/>
        <w:spacing w:line="360" w:lineRule="auto"/>
        <w:ind w:firstLine="420" w:firstLineChars="200"/>
        <w:rPr>
          <w:rFonts w:hint="eastAsia"/>
        </w:rPr>
      </w:pPr>
      <w:r>
        <w:rPr>
          <w:rFonts w:hint="eastAsia"/>
        </w:rPr>
        <w:t>本次招标采用</w:t>
      </w:r>
      <w:bookmarkStart w:id="2" w:name="_Toc33265654"/>
      <w:bookmarkStart w:id="3" w:name="_Toc395116634"/>
      <w:bookmarkStart w:id="4" w:name="_Toc33285489"/>
      <w:bookmarkStart w:id="5" w:name="_Toc33265753"/>
      <w:bookmarkStart w:id="6" w:name="_Toc33267002"/>
      <w:bookmarkStart w:id="7" w:name="_Toc33266951"/>
      <w:bookmarkStart w:id="8" w:name="_Toc33266915"/>
      <w:bookmarkStart w:id="9" w:name="_Toc33266628"/>
      <w:r>
        <w:rPr>
          <w:rFonts w:hint="eastAsia"/>
          <w:b/>
          <w:bCs/>
        </w:rPr>
        <w:t>技术</w:t>
      </w:r>
      <w:r>
        <w:rPr>
          <w:rFonts w:hint="eastAsia"/>
          <w:b/>
          <w:bCs/>
          <w:lang w:val="en-US" w:eastAsia="zh-CN"/>
        </w:rPr>
        <w:t>方案讲解</w:t>
      </w:r>
      <w:r>
        <w:rPr>
          <w:rFonts w:hint="eastAsia"/>
          <w:b/>
          <w:bCs/>
        </w:rPr>
        <w:t>后</w:t>
      </w:r>
      <w:r>
        <w:rPr>
          <w:rFonts w:hint="eastAsia"/>
        </w:rPr>
        <w:t>，原则上</w:t>
      </w:r>
      <w:r>
        <w:rPr>
          <w:rFonts w:hint="eastAsia"/>
          <w:b/>
          <w:bCs/>
        </w:rPr>
        <w:t>合理最低价</w:t>
      </w:r>
      <w:r>
        <w:rPr>
          <w:rFonts w:hint="eastAsia"/>
        </w:rPr>
        <w:t>中标。本着公平、公正、公开的原则，在满足技术要求的前提下，选择合理最低价确定中标人，对未中标单位不做任何解释。</w:t>
      </w:r>
    </w:p>
    <w:bookmarkEnd w:id="2"/>
    <w:bookmarkEnd w:id="3"/>
    <w:bookmarkEnd w:id="4"/>
    <w:bookmarkEnd w:id="5"/>
    <w:bookmarkEnd w:id="6"/>
    <w:bookmarkEnd w:id="7"/>
    <w:bookmarkEnd w:id="8"/>
    <w:bookmarkEnd w:id="9"/>
    <w:p w14:paraId="7D476C92">
      <w:pPr>
        <w:pStyle w:val="6"/>
        <w:spacing w:line="360" w:lineRule="auto"/>
        <w:ind w:firstLine="420" w:firstLineChars="200"/>
        <w:rPr>
          <w:rFonts w:hint="eastAsia"/>
        </w:rPr>
      </w:pPr>
      <w:r>
        <w:rPr>
          <w:rFonts w:hint="eastAsia"/>
        </w:rPr>
        <w:t>评标流程：</w:t>
      </w:r>
    </w:p>
    <w:p w14:paraId="381D28C8">
      <w:pPr>
        <w:pStyle w:val="6"/>
        <w:spacing w:line="360" w:lineRule="auto"/>
        <w:ind w:firstLine="420" w:firstLineChars="200"/>
        <w:rPr>
          <w:rFonts w:hint="eastAsia"/>
        </w:rPr>
      </w:pPr>
      <w:r>
        <w:rPr>
          <w:rFonts w:hint="eastAsia"/>
        </w:rPr>
        <w:t>投标文件包含《投标文件（资质标）》、《投标文件（技术标）》、《投标文件（商务标）》（开标一览表），共计三个文件。</w:t>
      </w:r>
    </w:p>
    <w:p w14:paraId="51B2515A">
      <w:pPr>
        <w:pStyle w:val="6"/>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14:paraId="40E7DB96">
      <w:pPr>
        <w:pStyle w:val="6"/>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r>
        <w:rPr>
          <w:rFonts w:hint="eastAsia"/>
          <w:b/>
          <w:bCs/>
        </w:rPr>
        <w:t>若逾期未完成重汽e采通上传标书，即便递交了纸版投标文件，一律视为无效投标。</w:t>
      </w:r>
    </w:p>
    <w:p w14:paraId="19DFE6EE">
      <w:pPr>
        <w:pStyle w:val="6"/>
        <w:spacing w:line="360" w:lineRule="auto"/>
        <w:ind w:firstLine="420" w:firstLineChars="200"/>
        <w:rPr>
          <w:rFonts w:hint="eastAsia"/>
        </w:rPr>
      </w:pPr>
      <w:r>
        <w:rPr>
          <w:rFonts w:hint="eastAsia"/>
        </w:rPr>
        <w:t>资质标评审：资质标审核通过的单位，可以进入公开唱标环节；</w:t>
      </w:r>
    </w:p>
    <w:p w14:paraId="3DAAFF58">
      <w:pPr>
        <w:pStyle w:val="6"/>
        <w:spacing w:line="360" w:lineRule="auto"/>
        <w:ind w:firstLine="420" w:firstLineChars="200"/>
        <w:rPr>
          <w:rFonts w:hint="eastAsia"/>
        </w:rPr>
      </w:pPr>
      <w:r>
        <w:rPr>
          <w:rFonts w:hint="eastAsia"/>
        </w:rPr>
        <w:t>公开唱标：公示资质标入围单位的开标价格及商务条款响应情况；</w:t>
      </w:r>
    </w:p>
    <w:p w14:paraId="3A851DFE">
      <w:pPr>
        <w:pStyle w:val="6"/>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14:paraId="1FDC7BCE">
      <w:pPr>
        <w:pStyle w:val="6"/>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14:paraId="68866234">
      <w:pPr>
        <w:pStyle w:val="6"/>
        <w:spacing w:line="360" w:lineRule="auto"/>
        <w:ind w:firstLine="420" w:firstLineChars="200"/>
        <w:rPr>
          <w:rFonts w:hint="eastAsia"/>
        </w:rPr>
      </w:pPr>
      <w:r>
        <w:rPr>
          <w:rFonts w:hint="eastAsia"/>
        </w:rPr>
        <w:t>中标人确定：技术</w:t>
      </w:r>
      <w:r>
        <w:rPr>
          <w:rFonts w:hint="eastAsia"/>
          <w:lang w:val="en-US" w:eastAsia="zh-CN"/>
        </w:rPr>
        <w:t>方案讲解</w:t>
      </w:r>
      <w:r>
        <w:rPr>
          <w:rFonts w:hint="eastAsia"/>
        </w:rPr>
        <w:t>后，原则上合理最低价中标。</w:t>
      </w:r>
    </w:p>
    <w:p w14:paraId="50B9A27E">
      <w:pPr>
        <w:pStyle w:val="6"/>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2C5A85E">
      <w:pPr>
        <w:pStyle w:val="6"/>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01C07833">
      <w:pPr>
        <w:pStyle w:val="6"/>
        <w:spacing w:line="360" w:lineRule="auto"/>
        <w:rPr>
          <w:rFonts w:hint="eastAsia" w:ascii="黑体" w:eastAsia="黑体"/>
          <w:b/>
          <w:bCs/>
          <w:sz w:val="28"/>
        </w:rPr>
      </w:pPr>
    </w:p>
    <w:p w14:paraId="2B4F185B">
      <w:pPr>
        <w:pStyle w:val="6"/>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p>
    <w:p w14:paraId="04A82986">
      <w:pPr>
        <w:spacing w:line="360" w:lineRule="auto"/>
        <w:ind w:right="2" w:firstLine="420" w:firstLineChars="200"/>
        <w:jc w:val="left"/>
        <w:rPr>
          <w:rFonts w:hint="default" w:eastAsia="宋体"/>
          <w:lang w:val="en-US"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Courier New"/>
        </w:rPr>
      </w:pPr>
      <w:r>
        <w:rPr>
          <w:rFonts w:hint="eastAsia" w:ascii="宋体" w:hAnsi="Courier New"/>
        </w:rPr>
        <w:t>⑴出现影响采购公正的违法、违规行为的。</w:t>
      </w:r>
    </w:p>
    <w:p w14:paraId="15F57AF9">
      <w:pPr>
        <w:spacing w:line="360" w:lineRule="auto"/>
        <w:ind w:right="2" w:firstLine="420" w:firstLineChars="200"/>
        <w:rPr>
          <w:rFonts w:hint="eastAsia" w:ascii="宋体" w:hAnsi="Courier New"/>
        </w:rPr>
      </w:pPr>
      <w:r>
        <w:rPr>
          <w:rFonts w:hint="eastAsia" w:ascii="宋体" w:hAnsi="Courier New"/>
        </w:rPr>
        <w:t>⑵因重大变故，采购任务取消的。</w:t>
      </w:r>
    </w:p>
    <w:p w14:paraId="78525B85">
      <w:pPr>
        <w:spacing w:line="360" w:lineRule="auto"/>
        <w:ind w:right="2" w:firstLine="420" w:firstLineChars="200"/>
        <w:rPr>
          <w:rFonts w:hint="eastAsia" w:ascii="宋体" w:hAnsi="宋体"/>
        </w:rPr>
      </w:pPr>
      <w:r>
        <w:rPr>
          <w:rFonts w:hint="eastAsia" w:ascii="宋体" w:hAnsi="宋体"/>
        </w:rPr>
        <w:t>⑶招标人认为其他应终止招标的情形。</w:t>
      </w:r>
    </w:p>
    <w:p w14:paraId="7220B219">
      <w:pPr>
        <w:numPr>
          <w:ilvl w:val="0"/>
          <w:numId w:val="4"/>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1）符合条件的投标人或者对招标文件做实质响应的投标人不足三家的；（2）评标委员会经评审，认为所有投标都不符合招标文件要求的；（3）投标人承诺并同意因招标人公司政策变化引起的随时终止项目的情形，并自行承担由此带来的一切损失。</w:t>
      </w:r>
    </w:p>
    <w:p w14:paraId="52B21C84">
      <w:pPr>
        <w:pStyle w:val="6"/>
        <w:spacing w:line="360" w:lineRule="auto"/>
        <w:rPr>
          <w:rFonts w:ascii="黑体" w:eastAsia="黑体"/>
          <w:b/>
          <w:bCs/>
          <w:sz w:val="28"/>
        </w:rPr>
      </w:pPr>
      <w:r>
        <w:rPr>
          <w:rFonts w:hint="eastAsia" w:ascii="黑体" w:eastAsia="黑体"/>
          <w:b/>
          <w:bCs/>
          <w:sz w:val="28"/>
        </w:rPr>
        <w:t>十、中标人瑕疵滞后发现的处理原则</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已签订合同的情形，招标人均有权拒绝或取消中标人资格，一旦中标人被拒绝或该中标人此前的评议结果被取消，相关的一切损失均由该中标人承担。本次招标最终解释权归中国重汽集团济南卡车股份有限公司</w:t>
      </w:r>
      <w:r>
        <w:rPr>
          <w:rFonts w:hint="eastAsia" w:ascii="宋体" w:hAnsi="Courier New"/>
          <w:lang w:eastAsia="zh-CN"/>
        </w:rPr>
        <w:t>。</w:t>
      </w:r>
      <w:bookmarkStart w:id="26" w:name="_GoBack"/>
      <w:bookmarkEnd w:id="26"/>
    </w:p>
    <w:p w14:paraId="0BC144CE">
      <w:pPr>
        <w:spacing w:line="360" w:lineRule="auto"/>
        <w:ind w:right="2" w:firstLine="420" w:firstLineChars="200"/>
        <w:rPr>
          <w:rFonts w:hint="eastAsia" w:ascii="宋体" w:hAnsi="Courier New"/>
        </w:rPr>
      </w:pPr>
    </w:p>
    <w:p w14:paraId="132C0B87">
      <w:pPr>
        <w:pStyle w:val="6"/>
        <w:spacing w:line="360" w:lineRule="auto"/>
        <w:rPr>
          <w:rFonts w:hint="eastAsia" w:ascii="黑体" w:eastAsia="黑体"/>
          <w:b/>
          <w:bCs/>
          <w:sz w:val="28"/>
        </w:rPr>
      </w:pPr>
      <w:r>
        <w:rPr>
          <w:rFonts w:hint="eastAsia" w:ascii="黑体" w:eastAsia="黑体"/>
          <w:b/>
          <w:bCs/>
          <w:sz w:val="28"/>
        </w:rPr>
        <w:t>十一、技术要求</w:t>
      </w:r>
    </w:p>
    <w:p w14:paraId="29AA87AE">
      <w:pPr>
        <w:pStyle w:val="6"/>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421A3F88">
      <w:pPr>
        <w:rPr>
          <w:rFonts w:hint="eastAsia" w:ascii="黑体" w:hAnsi="Courier New" w:eastAsia="黑体"/>
          <w:b/>
          <w:bCs/>
          <w:sz w:val="36"/>
          <w:szCs w:val="36"/>
        </w:rPr>
      </w:pPr>
      <w:r>
        <w:rPr>
          <w:rFonts w:hint="eastAsia" w:ascii="黑体" w:hAnsi="Courier New" w:eastAsia="黑体"/>
          <w:b/>
          <w:bCs/>
          <w:sz w:val="36"/>
          <w:szCs w:val="36"/>
        </w:rPr>
        <w:br w:type="page"/>
      </w:r>
    </w:p>
    <w:p w14:paraId="1416B78C">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6CA4258B">
      <w:pPr>
        <w:pStyle w:val="6"/>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6"/>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438344B9">
      <w:pPr>
        <w:pStyle w:val="6"/>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14:paraId="25667B96">
      <w:pPr>
        <w:pStyle w:val="6"/>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54015F60">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4806C2C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1、法定代表人身份证明</w:t>
      </w:r>
    </w:p>
    <w:p w14:paraId="5AD5CCF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522A026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04B212D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4、《投标保证金缴纳凭证》；</w:t>
      </w:r>
    </w:p>
    <w:p w14:paraId="3678C39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5、证明投标人满足投标资料表中列出的业绩要求的文件：近三年（2022年1月1日至今）类似项目业绩及合同复印件（加盖公章，须有客户联系方式及联系人以供招标人核实确认）。</w:t>
      </w:r>
    </w:p>
    <w:p w14:paraId="3D0FB97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4F7052F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7、招标文件中要求的其它资格证明文件。</w:t>
      </w:r>
    </w:p>
    <w:p w14:paraId="67D6EA9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8、投标人应具有相应生产证明，若为代理商需具备厂家授权。</w:t>
      </w:r>
    </w:p>
    <w:p w14:paraId="0C9C47E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9、近三个月依法缴纳税收和社会保障资金的证明材料，近三年内在经营活动中没有违法违纪行为的声明；</w:t>
      </w:r>
    </w:p>
    <w:p w14:paraId="761541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10、投标单位在国家企业信用信息公示系统中无与本投标项目有关的行政处罚、经营异常或失信信息或上述信息已被移除的声明。</w:t>
      </w:r>
    </w:p>
    <w:p w14:paraId="60716535">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B505C66">
      <w:pPr>
        <w:spacing w:line="336" w:lineRule="auto"/>
        <w:ind w:firstLine="403" w:firstLineChars="185"/>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1、技术规格偏离表，必须先进行两列要求一一对照，不允许直接写无偏离；</w:t>
      </w:r>
    </w:p>
    <w:p w14:paraId="51E9EBDC">
      <w:pPr>
        <w:spacing w:line="336" w:lineRule="auto"/>
        <w:ind w:firstLine="403" w:firstLineChars="185"/>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2、投标人需提交的其它资料。</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3FA3C255">
      <w:pPr>
        <w:pStyle w:val="6"/>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 xml:space="preserve"> 开标一览表；</w:t>
      </w:r>
    </w:p>
    <w:p w14:paraId="3BF91DB6">
      <w:pPr>
        <w:spacing w:line="336" w:lineRule="auto"/>
        <w:ind w:firstLine="596" w:firstLineChars="284"/>
        <w:rPr>
          <w:rFonts w:hint="eastAsia" w:ascii="宋体" w:hAnsi="宋体" w:cs="宋体"/>
          <w:bCs/>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)投标分项报价表</w:t>
      </w:r>
    </w:p>
    <w:p w14:paraId="0AF7A3A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13431ACB">
      <w:pPr>
        <w:spacing w:line="336" w:lineRule="auto"/>
        <w:ind w:firstLine="596" w:firstLineChars="284"/>
        <w:rPr>
          <w:rFonts w:hint="eastAsia" w:hAnsi="宋体" w:eastAsia="宋体" w:cs="宋体"/>
          <w:bCs/>
          <w:szCs w:val="21"/>
          <w:highlight w:val="none"/>
          <w:lang w:val="en-US" w:eastAsia="zh-CN"/>
        </w:rPr>
      </w:pPr>
      <w:r>
        <w:rPr>
          <w:rFonts w:hint="eastAsia" w:hAnsi="宋体" w:cs="宋体"/>
          <w:bCs/>
          <w:szCs w:val="21"/>
          <w:highlight w:val="none"/>
          <w:lang w:val="en-US" w:eastAsia="zh-CN"/>
        </w:rPr>
        <w:t>(五</w:t>
      </w:r>
      <w:r>
        <w:rPr>
          <w:rFonts w:hint="eastAsia" w:hAnsi="宋体" w:cs="宋体"/>
          <w:bCs/>
          <w:szCs w:val="21"/>
          <w:highlight w:val="none"/>
        </w:rPr>
        <w:t>)企业情况、从业经历、服务承诺一览表</w:t>
      </w:r>
      <w:r>
        <w:rPr>
          <w:rFonts w:hint="eastAsia" w:hAnsi="宋体" w:cs="宋体"/>
          <w:bCs/>
          <w:szCs w:val="21"/>
          <w:highlight w:val="none"/>
          <w:lang w:eastAsia="zh-CN"/>
        </w:rPr>
        <w:t>。</w:t>
      </w:r>
    </w:p>
    <w:p w14:paraId="3B844C2F">
      <w:pPr>
        <w:spacing w:line="336" w:lineRule="auto"/>
        <w:ind w:firstLine="596" w:firstLineChars="284"/>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)投标承诺书</w:t>
      </w:r>
    </w:p>
    <w:p w14:paraId="55FEEDCD">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6425FAAE">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14:paraId="34686FCD">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14:paraId="4DBABB88">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14:paraId="2B0B971C">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6B30E8EC">
      <w:pPr>
        <w:pStyle w:val="6"/>
        <w:numPr>
          <w:ilvl w:val="0"/>
          <w:numId w:val="5"/>
        </w:numPr>
        <w:spacing w:line="360" w:lineRule="auto"/>
        <w:jc w:val="center"/>
        <w:outlineLvl w:val="0"/>
        <w:rPr>
          <w:rFonts w:hint="eastAsia" w:ascii="黑体" w:eastAsia="黑体"/>
          <w:b/>
          <w:bCs/>
          <w:sz w:val="36"/>
          <w:szCs w:val="36"/>
        </w:rPr>
      </w:pPr>
      <w:r>
        <w:rPr>
          <w:rFonts w:hint="eastAsia" w:eastAsia="黑体"/>
          <w:b/>
          <w:bCs/>
          <w:sz w:val="28"/>
        </w:rPr>
        <w:br w:type="page"/>
      </w:r>
      <w:r>
        <w:rPr>
          <w:rFonts w:hint="eastAsia" w:ascii="黑体" w:eastAsia="黑体"/>
          <w:b/>
          <w:bCs/>
          <w:sz w:val="36"/>
          <w:szCs w:val="36"/>
        </w:rPr>
        <w:t xml:space="preserve"> </w:t>
      </w:r>
      <w:bookmarkStart w:id="11" w:name="_Toc13248"/>
      <w:r>
        <w:rPr>
          <w:rFonts w:ascii="黑体" w:eastAsia="黑体"/>
          <w:b/>
          <w:bCs/>
          <w:sz w:val="36"/>
          <w:szCs w:val="36"/>
        </w:rPr>
        <w:t>技术</w:t>
      </w:r>
      <w:r>
        <w:rPr>
          <w:rFonts w:hint="eastAsia" w:ascii="黑体" w:eastAsia="黑体"/>
          <w:b/>
          <w:bCs/>
          <w:sz w:val="36"/>
          <w:szCs w:val="36"/>
        </w:rPr>
        <w:t>要求</w:t>
      </w:r>
      <w:bookmarkEnd w:id="11"/>
    </w:p>
    <w:p w14:paraId="4AB2813E">
      <w:pPr>
        <w:spacing w:line="480" w:lineRule="auto"/>
        <w:jc w:val="center"/>
        <w:rPr>
          <w:rFonts w:hint="eastAsia" w:ascii="Arial" w:hAnsi="Arial" w:eastAsia="黑体" w:cs="Times New Roman"/>
          <w:b/>
          <w:sz w:val="36"/>
          <w:szCs w:val="36"/>
        </w:rPr>
      </w:pPr>
      <w:bookmarkStart w:id="12" w:name="_Toc23780"/>
      <w:r>
        <w:rPr>
          <w:rFonts w:hint="eastAsia" w:ascii="Arial" w:hAnsi="Arial" w:eastAsia="黑体" w:cs="Times New Roman"/>
          <w:b/>
          <w:sz w:val="36"/>
          <w:szCs w:val="36"/>
          <w:lang w:val="en-US" w:eastAsia="zh-CN"/>
        </w:rPr>
        <w:t xml:space="preserve"> 技术标文件</w:t>
      </w:r>
    </w:p>
    <w:p w14:paraId="015767D1">
      <w:pPr>
        <w:pStyle w:val="6"/>
        <w:spacing w:line="360" w:lineRule="auto"/>
        <w:outlineLvl w:val="1"/>
        <w:rPr>
          <w:rFonts w:hint="eastAsia" w:ascii="黑体" w:eastAsia="黑体"/>
          <w:b/>
          <w:bCs/>
          <w:sz w:val="28"/>
        </w:rPr>
      </w:pPr>
      <w:r>
        <w:rPr>
          <w:rFonts w:hint="eastAsia" w:ascii="黑体" w:eastAsia="黑体"/>
          <w:b/>
          <w:bCs/>
          <w:sz w:val="28"/>
        </w:rPr>
        <w:t>一、项目名称</w:t>
      </w:r>
    </w:p>
    <w:p w14:paraId="21E6668E">
      <w:pPr>
        <w:ind w:right="28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sz w:val="24"/>
          <w:szCs w:val="24"/>
          <w:lang w:eastAsia="zh-CN"/>
        </w:rPr>
        <w:t>党家厂区锅炉能效检测项</w:t>
      </w:r>
      <w:r>
        <w:rPr>
          <w:rFonts w:hint="eastAsia" w:ascii="宋体" w:hAnsi="宋体" w:eastAsia="宋体" w:cs="宋体"/>
          <w:color w:val="auto"/>
          <w:sz w:val="24"/>
          <w:szCs w:val="24"/>
          <w:lang w:eastAsia="zh-CN"/>
        </w:rPr>
        <w:t>目（</w:t>
      </w:r>
      <w:r>
        <w:rPr>
          <w:rFonts w:hint="eastAsia" w:ascii="宋体" w:hAnsi="宋体" w:eastAsia="宋体" w:cs="宋体"/>
          <w:color w:val="auto"/>
          <w:sz w:val="24"/>
          <w:szCs w:val="24"/>
          <w:lang w:val="en-US" w:eastAsia="zh-CN"/>
        </w:rPr>
        <w:t>项目编号:FSCZB2025100151</w:t>
      </w:r>
      <w:r>
        <w:rPr>
          <w:rFonts w:hint="eastAsia" w:ascii="宋体" w:hAnsi="宋体" w:eastAsia="宋体" w:cs="宋体"/>
          <w:color w:val="auto"/>
          <w:sz w:val="24"/>
          <w:szCs w:val="24"/>
          <w:lang w:eastAsia="zh-CN"/>
        </w:rPr>
        <w:t>）</w:t>
      </w:r>
    </w:p>
    <w:p w14:paraId="45598675">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技术联系人：王艳 15964548466</w:t>
      </w:r>
    </w:p>
    <w:p w14:paraId="6A17364F">
      <w:pPr>
        <w:pStyle w:val="6"/>
        <w:numPr>
          <w:ilvl w:val="0"/>
          <w:numId w:val="0"/>
        </w:numPr>
        <w:spacing w:line="360" w:lineRule="auto"/>
        <w:ind w:leftChars="0"/>
        <w:outlineLvl w:val="1"/>
        <w:rPr>
          <w:rFonts w:hint="eastAsia" w:ascii="黑体" w:eastAsia="黑体"/>
          <w:b/>
          <w:bCs/>
          <w:sz w:val="28"/>
        </w:rPr>
      </w:pPr>
      <w:r>
        <w:rPr>
          <w:rFonts w:hint="eastAsia" w:ascii="黑体" w:eastAsia="黑体"/>
          <w:b/>
          <w:bCs/>
          <w:sz w:val="28"/>
          <w:lang w:val="en-US" w:eastAsia="zh-CN"/>
        </w:rPr>
        <w:t>二、</w:t>
      </w:r>
      <w:r>
        <w:rPr>
          <w:rFonts w:hint="eastAsia" w:ascii="黑体" w:eastAsia="黑体"/>
          <w:b/>
          <w:bCs/>
          <w:sz w:val="28"/>
        </w:rPr>
        <w:t>项目范围</w:t>
      </w:r>
      <w:r>
        <w:rPr>
          <w:rFonts w:hint="eastAsia" w:ascii="黑体" w:eastAsia="黑体"/>
          <w:b/>
          <w:bCs/>
          <w:sz w:val="28"/>
          <w:lang w:val="en-US" w:eastAsia="zh-CN"/>
        </w:rPr>
        <w:t>及技术要求</w:t>
      </w:r>
    </w:p>
    <w:p w14:paraId="28BB2D3B">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依据《锅炉节能环保技术规程》TSG91-2021的5.4.1条定期能效测试要求，对党家庄厂区在用的4台燃气锅炉开展定期能效测试，并出具具有法律效力的能效检测报告。在用锅炉的定期能效测试，投标方为招标方提供的检验测试服务应合法合规，确保服务内容及测试结果得到特种设备监管部门认可。</w:t>
      </w:r>
    </w:p>
    <w:p w14:paraId="61884A6B">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锅炉能效测试项目参考明细</w:t>
      </w:r>
    </w:p>
    <w:tbl>
      <w:tblPr>
        <w:tblStyle w:val="1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60"/>
        <w:gridCol w:w="3741"/>
        <w:gridCol w:w="1606"/>
        <w:gridCol w:w="1524"/>
        <w:gridCol w:w="1290"/>
      </w:tblGrid>
      <w:tr w14:paraId="6DB2E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526" w:type="pct"/>
            <w:noWrap w:val="0"/>
            <w:vAlign w:val="center"/>
          </w:tcPr>
          <w:p w14:paraId="6259434C">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050" w:type="pct"/>
            <w:noWrap w:val="0"/>
            <w:vAlign w:val="center"/>
          </w:tcPr>
          <w:p w14:paraId="6B8F7EC6">
            <w:pPr>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名称（测试内容）</w:t>
            </w:r>
          </w:p>
        </w:tc>
        <w:tc>
          <w:tcPr>
            <w:tcW w:w="880" w:type="pct"/>
            <w:noWrap w:val="0"/>
            <w:vAlign w:val="center"/>
          </w:tcPr>
          <w:p w14:paraId="0602FE72">
            <w:pPr>
              <w:jc w:val="center"/>
              <w:rPr>
                <w:rFonts w:hint="eastAsia" w:ascii="宋体" w:hAnsi="宋体" w:eastAsia="宋体" w:cs="宋体"/>
                <w:b/>
                <w:sz w:val="24"/>
                <w:szCs w:val="24"/>
              </w:rPr>
            </w:pPr>
            <w:r>
              <w:rPr>
                <w:rFonts w:hint="eastAsia" w:ascii="宋体" w:hAnsi="宋体" w:eastAsia="宋体" w:cs="宋体"/>
                <w:b/>
                <w:sz w:val="24"/>
                <w:szCs w:val="24"/>
              </w:rPr>
              <w:t>符号</w:t>
            </w:r>
          </w:p>
        </w:tc>
        <w:tc>
          <w:tcPr>
            <w:tcW w:w="835" w:type="pct"/>
            <w:noWrap w:val="0"/>
            <w:vAlign w:val="center"/>
          </w:tcPr>
          <w:p w14:paraId="3EB6E8E3">
            <w:pPr>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707" w:type="pct"/>
            <w:noWrap w:val="0"/>
            <w:vAlign w:val="center"/>
          </w:tcPr>
          <w:p w14:paraId="2AFE8470">
            <w:pPr>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备注</w:t>
            </w:r>
          </w:p>
        </w:tc>
      </w:tr>
      <w:tr w14:paraId="21952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6D6C927C">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3E1BFF23">
            <w:pPr>
              <w:pStyle w:val="23"/>
              <w:jc w:val="center"/>
              <w:rPr>
                <w:rFonts w:hint="eastAsia" w:ascii="宋体" w:hAnsi="宋体" w:eastAsia="宋体" w:cs="宋体"/>
                <w:color w:val="000000"/>
                <w:sz w:val="24"/>
                <w:szCs w:val="24"/>
              </w:rPr>
            </w:pPr>
            <w:r>
              <w:rPr>
                <w:rFonts w:hint="eastAsia" w:ascii="宋体" w:hAnsi="宋体" w:eastAsia="宋体" w:cs="宋体"/>
                <w:sz w:val="24"/>
                <w:szCs w:val="24"/>
                <w:lang w:val="en-US" w:eastAsia="zh-CN" w:bidi="ar-SA"/>
              </w:rPr>
              <w:t>锅炉运行出力</w:t>
            </w:r>
          </w:p>
        </w:tc>
        <w:tc>
          <w:tcPr>
            <w:tcW w:w="880" w:type="pct"/>
            <w:noWrap w:val="0"/>
            <w:vAlign w:val="center"/>
          </w:tcPr>
          <w:p w14:paraId="329144B0">
            <w:pPr>
              <w:pStyle w:val="24"/>
              <w:jc w:val="center"/>
              <w:rPr>
                <w:rFonts w:hint="eastAsia" w:ascii="宋体" w:hAnsi="宋体" w:eastAsia="宋体" w:cs="宋体"/>
                <w:color w:val="000000"/>
                <w:sz w:val="24"/>
                <w:szCs w:val="24"/>
              </w:rPr>
            </w:pPr>
            <w:r>
              <w:rPr>
                <w:rFonts w:hint="eastAsia" w:ascii="宋体" w:hAnsi="宋体" w:eastAsia="宋体" w:cs="宋体"/>
                <w:sz w:val="24"/>
                <w:szCs w:val="24"/>
              </w:rPr>
              <w:t>D</w:t>
            </w:r>
            <w:r>
              <w:rPr>
                <w:rFonts w:hint="eastAsia" w:ascii="宋体" w:hAnsi="宋体" w:eastAsia="宋体" w:cs="宋体"/>
                <w:sz w:val="24"/>
                <w:szCs w:val="24"/>
                <w:vertAlign w:val="subscript"/>
              </w:rPr>
              <w:t>out</w:t>
            </w:r>
          </w:p>
        </w:tc>
        <w:tc>
          <w:tcPr>
            <w:tcW w:w="835" w:type="pct"/>
            <w:noWrap w:val="0"/>
            <w:vAlign w:val="center"/>
          </w:tcPr>
          <w:p w14:paraId="050CA9D3">
            <w:pPr>
              <w:pStyle w:val="25"/>
              <w:jc w:val="center"/>
              <w:rPr>
                <w:rFonts w:hint="eastAsia" w:ascii="宋体" w:hAnsi="宋体" w:eastAsia="宋体" w:cs="宋体"/>
                <w:color w:val="000000"/>
                <w:sz w:val="24"/>
                <w:szCs w:val="24"/>
              </w:rPr>
            </w:pPr>
            <w:r>
              <w:rPr>
                <w:rFonts w:hint="eastAsia" w:ascii="宋体" w:hAnsi="宋体" w:eastAsia="宋体" w:cs="宋体"/>
                <w:sz w:val="24"/>
                <w:szCs w:val="24"/>
              </w:rPr>
              <w:t>kg/h</w:t>
            </w:r>
          </w:p>
        </w:tc>
        <w:tc>
          <w:tcPr>
            <w:tcW w:w="707" w:type="pct"/>
            <w:noWrap w:val="0"/>
            <w:vAlign w:val="center"/>
          </w:tcPr>
          <w:p w14:paraId="455067AB">
            <w:pPr>
              <w:autoSpaceDN w:val="0"/>
              <w:jc w:val="center"/>
              <w:textAlignment w:val="center"/>
              <w:rPr>
                <w:rFonts w:hint="eastAsia" w:ascii="宋体" w:hAnsi="宋体" w:eastAsia="宋体" w:cs="宋体"/>
                <w:sz w:val="24"/>
                <w:szCs w:val="24"/>
                <w:lang w:val="en-US" w:eastAsia="zh-CN"/>
              </w:rPr>
            </w:pPr>
          </w:p>
        </w:tc>
      </w:tr>
      <w:tr w14:paraId="088B0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3528F131">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291B64D8">
            <w:pPr>
              <w:pStyle w:val="26"/>
              <w:jc w:val="center"/>
              <w:rPr>
                <w:rFonts w:hint="eastAsia" w:ascii="宋体" w:hAnsi="宋体" w:eastAsia="宋体" w:cs="宋体"/>
                <w:color w:val="000000"/>
                <w:sz w:val="24"/>
                <w:szCs w:val="24"/>
              </w:rPr>
            </w:pPr>
            <w:r>
              <w:rPr>
                <w:rFonts w:hint="eastAsia" w:ascii="宋体" w:hAnsi="宋体" w:eastAsia="宋体" w:cs="宋体"/>
                <w:sz w:val="24"/>
                <w:szCs w:val="24"/>
              </w:rPr>
              <w:t>进口工质压力</w:t>
            </w:r>
          </w:p>
        </w:tc>
        <w:tc>
          <w:tcPr>
            <w:tcW w:w="880" w:type="pct"/>
            <w:noWrap w:val="0"/>
            <w:vAlign w:val="center"/>
          </w:tcPr>
          <w:p w14:paraId="0579CFA9">
            <w:pPr>
              <w:pStyle w:val="27"/>
              <w:jc w:val="center"/>
              <w:rPr>
                <w:rFonts w:hint="eastAsia" w:ascii="宋体" w:hAnsi="宋体" w:eastAsia="宋体" w:cs="宋体"/>
                <w:color w:val="000000"/>
                <w:sz w:val="24"/>
                <w:szCs w:val="24"/>
              </w:rPr>
            </w:pPr>
            <w:r>
              <w:rPr>
                <w:rFonts w:hint="eastAsia" w:ascii="宋体" w:hAnsi="宋体" w:eastAsia="宋体" w:cs="宋体"/>
                <w:sz w:val="24"/>
                <w:szCs w:val="24"/>
              </w:rPr>
              <w:t>P</w:t>
            </w:r>
            <w:r>
              <w:rPr>
                <w:rFonts w:hint="eastAsia" w:ascii="宋体" w:hAnsi="宋体" w:eastAsia="宋体" w:cs="宋体"/>
                <w:sz w:val="24"/>
                <w:szCs w:val="24"/>
                <w:vertAlign w:val="subscript"/>
              </w:rPr>
              <w:t>fw</w:t>
            </w:r>
          </w:p>
        </w:tc>
        <w:tc>
          <w:tcPr>
            <w:tcW w:w="835" w:type="pct"/>
            <w:noWrap w:val="0"/>
            <w:vAlign w:val="center"/>
          </w:tcPr>
          <w:p w14:paraId="061EB5DF">
            <w:pPr>
              <w:pStyle w:val="28"/>
              <w:jc w:val="center"/>
              <w:rPr>
                <w:rFonts w:hint="eastAsia" w:ascii="宋体" w:hAnsi="宋体" w:eastAsia="宋体" w:cs="宋体"/>
                <w:color w:val="000000"/>
                <w:sz w:val="24"/>
                <w:szCs w:val="24"/>
              </w:rPr>
            </w:pPr>
            <w:r>
              <w:rPr>
                <w:rFonts w:hint="eastAsia" w:ascii="宋体" w:hAnsi="宋体" w:eastAsia="宋体" w:cs="宋体"/>
                <w:sz w:val="24"/>
                <w:szCs w:val="24"/>
              </w:rPr>
              <w:t>MPa</w:t>
            </w:r>
          </w:p>
        </w:tc>
        <w:tc>
          <w:tcPr>
            <w:tcW w:w="707" w:type="pct"/>
            <w:noWrap w:val="0"/>
            <w:vAlign w:val="center"/>
          </w:tcPr>
          <w:p w14:paraId="328CDAE3">
            <w:pPr>
              <w:autoSpaceDN w:val="0"/>
              <w:jc w:val="center"/>
              <w:textAlignment w:val="center"/>
              <w:rPr>
                <w:rFonts w:hint="eastAsia" w:ascii="宋体" w:hAnsi="宋体" w:eastAsia="宋体" w:cs="宋体"/>
                <w:sz w:val="24"/>
                <w:szCs w:val="24"/>
                <w:lang w:val="en-US" w:eastAsia="zh-CN"/>
              </w:rPr>
            </w:pPr>
          </w:p>
        </w:tc>
      </w:tr>
      <w:tr w14:paraId="2A9B5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4A08F40E">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610139C9">
            <w:pPr>
              <w:pStyle w:val="29"/>
              <w:jc w:val="center"/>
              <w:rPr>
                <w:rFonts w:hint="eastAsia" w:ascii="宋体" w:hAnsi="宋体" w:eastAsia="宋体" w:cs="宋体"/>
                <w:color w:val="000000"/>
                <w:sz w:val="24"/>
                <w:szCs w:val="24"/>
              </w:rPr>
            </w:pPr>
            <w:r>
              <w:rPr>
                <w:rFonts w:hint="eastAsia" w:ascii="宋体" w:hAnsi="宋体" w:eastAsia="宋体" w:cs="宋体"/>
                <w:sz w:val="24"/>
                <w:szCs w:val="24"/>
              </w:rPr>
              <w:t>出口工质压力</w:t>
            </w:r>
          </w:p>
        </w:tc>
        <w:tc>
          <w:tcPr>
            <w:tcW w:w="880" w:type="pct"/>
            <w:noWrap w:val="0"/>
            <w:vAlign w:val="center"/>
          </w:tcPr>
          <w:p w14:paraId="48A99DD9">
            <w:pPr>
              <w:pStyle w:val="30"/>
              <w:jc w:val="center"/>
              <w:rPr>
                <w:rFonts w:hint="eastAsia" w:ascii="宋体" w:hAnsi="宋体" w:eastAsia="宋体" w:cs="宋体"/>
                <w:color w:val="000000"/>
                <w:sz w:val="24"/>
                <w:szCs w:val="24"/>
              </w:rPr>
            </w:pPr>
            <w:r>
              <w:rPr>
                <w:rFonts w:hint="eastAsia" w:ascii="宋体" w:hAnsi="宋体" w:eastAsia="宋体" w:cs="宋体"/>
                <w:sz w:val="24"/>
                <w:szCs w:val="24"/>
              </w:rPr>
              <w:t>P</w:t>
            </w:r>
            <w:r>
              <w:rPr>
                <w:rFonts w:hint="eastAsia" w:ascii="宋体" w:hAnsi="宋体" w:eastAsia="宋体" w:cs="宋体"/>
                <w:sz w:val="24"/>
                <w:szCs w:val="24"/>
                <w:vertAlign w:val="subscript"/>
              </w:rPr>
              <w:t>ow</w:t>
            </w:r>
          </w:p>
        </w:tc>
        <w:tc>
          <w:tcPr>
            <w:tcW w:w="835" w:type="pct"/>
            <w:noWrap w:val="0"/>
            <w:vAlign w:val="center"/>
          </w:tcPr>
          <w:p w14:paraId="263CEAB6">
            <w:pPr>
              <w:pStyle w:val="31"/>
              <w:jc w:val="center"/>
              <w:rPr>
                <w:rFonts w:hint="eastAsia" w:ascii="宋体" w:hAnsi="宋体" w:eastAsia="宋体" w:cs="宋体"/>
                <w:color w:val="000000"/>
                <w:sz w:val="24"/>
                <w:szCs w:val="24"/>
              </w:rPr>
            </w:pPr>
            <w:r>
              <w:rPr>
                <w:rFonts w:hint="eastAsia" w:ascii="宋体" w:hAnsi="宋体" w:eastAsia="宋体" w:cs="宋体"/>
                <w:sz w:val="24"/>
                <w:szCs w:val="24"/>
              </w:rPr>
              <w:t>MPa</w:t>
            </w:r>
          </w:p>
        </w:tc>
        <w:tc>
          <w:tcPr>
            <w:tcW w:w="707" w:type="pct"/>
            <w:noWrap w:val="0"/>
            <w:vAlign w:val="center"/>
          </w:tcPr>
          <w:p w14:paraId="2FDB8DCD">
            <w:pPr>
              <w:autoSpaceDN w:val="0"/>
              <w:jc w:val="center"/>
              <w:textAlignment w:val="center"/>
              <w:rPr>
                <w:rFonts w:hint="eastAsia" w:ascii="宋体" w:hAnsi="宋体" w:eastAsia="宋体" w:cs="宋体"/>
                <w:sz w:val="24"/>
                <w:szCs w:val="24"/>
                <w:lang w:val="en-US" w:eastAsia="zh-CN"/>
              </w:rPr>
            </w:pPr>
          </w:p>
        </w:tc>
      </w:tr>
      <w:tr w14:paraId="067C5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691C656D">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614FFD43">
            <w:pPr>
              <w:pStyle w:val="32"/>
              <w:jc w:val="center"/>
              <w:rPr>
                <w:rFonts w:hint="eastAsia" w:ascii="宋体" w:hAnsi="宋体" w:eastAsia="宋体" w:cs="宋体"/>
                <w:color w:val="000000"/>
                <w:sz w:val="24"/>
                <w:szCs w:val="24"/>
              </w:rPr>
            </w:pPr>
            <w:r>
              <w:rPr>
                <w:rFonts w:hint="eastAsia" w:ascii="宋体" w:hAnsi="宋体" w:eastAsia="宋体" w:cs="宋体"/>
                <w:sz w:val="24"/>
                <w:szCs w:val="24"/>
              </w:rPr>
              <w:t>进口工质温度</w:t>
            </w:r>
          </w:p>
        </w:tc>
        <w:tc>
          <w:tcPr>
            <w:tcW w:w="880" w:type="pct"/>
            <w:noWrap w:val="0"/>
            <w:vAlign w:val="center"/>
          </w:tcPr>
          <w:p w14:paraId="7BB78587">
            <w:pPr>
              <w:pStyle w:val="33"/>
              <w:jc w:val="center"/>
              <w:rPr>
                <w:rFonts w:hint="eastAsia" w:ascii="宋体" w:hAnsi="宋体" w:eastAsia="宋体" w:cs="宋体"/>
                <w:color w:val="000000"/>
                <w:sz w:val="24"/>
                <w:szCs w:val="24"/>
              </w:rPr>
            </w:pPr>
            <w:r>
              <w:rPr>
                <w:rFonts w:hint="eastAsia" w:ascii="宋体" w:hAnsi="宋体" w:eastAsia="宋体" w:cs="宋体"/>
                <w:sz w:val="24"/>
                <w:szCs w:val="24"/>
              </w:rPr>
              <w:t>t</w:t>
            </w:r>
            <w:r>
              <w:rPr>
                <w:rFonts w:hint="eastAsia" w:ascii="宋体" w:hAnsi="宋体" w:eastAsia="宋体" w:cs="宋体"/>
                <w:sz w:val="24"/>
                <w:szCs w:val="24"/>
                <w:vertAlign w:val="subscript"/>
              </w:rPr>
              <w:t>fw</w:t>
            </w:r>
          </w:p>
        </w:tc>
        <w:tc>
          <w:tcPr>
            <w:tcW w:w="835" w:type="pct"/>
            <w:noWrap w:val="0"/>
            <w:vAlign w:val="center"/>
          </w:tcPr>
          <w:p w14:paraId="09B020E0">
            <w:pPr>
              <w:pStyle w:val="34"/>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72C01522">
            <w:pPr>
              <w:autoSpaceDN w:val="0"/>
              <w:jc w:val="center"/>
              <w:textAlignment w:val="center"/>
              <w:rPr>
                <w:rFonts w:hint="eastAsia" w:ascii="宋体" w:hAnsi="宋体" w:eastAsia="宋体" w:cs="宋体"/>
                <w:sz w:val="24"/>
                <w:szCs w:val="24"/>
                <w:lang w:val="en-US" w:eastAsia="zh-CN"/>
              </w:rPr>
            </w:pPr>
          </w:p>
        </w:tc>
      </w:tr>
      <w:tr w14:paraId="735C6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6534F0B6">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7CF2AAC6">
            <w:pPr>
              <w:pStyle w:val="35"/>
              <w:jc w:val="center"/>
              <w:rPr>
                <w:rFonts w:hint="eastAsia" w:ascii="宋体" w:hAnsi="宋体" w:eastAsia="宋体" w:cs="宋体"/>
                <w:color w:val="000000"/>
                <w:sz w:val="24"/>
                <w:szCs w:val="24"/>
              </w:rPr>
            </w:pPr>
            <w:r>
              <w:rPr>
                <w:rFonts w:hint="eastAsia" w:ascii="宋体" w:hAnsi="宋体" w:eastAsia="宋体" w:cs="宋体"/>
                <w:sz w:val="24"/>
                <w:szCs w:val="24"/>
              </w:rPr>
              <w:t>出口工质温度</w:t>
            </w:r>
          </w:p>
        </w:tc>
        <w:tc>
          <w:tcPr>
            <w:tcW w:w="880" w:type="pct"/>
            <w:noWrap w:val="0"/>
            <w:vAlign w:val="center"/>
          </w:tcPr>
          <w:p w14:paraId="791EFCE2">
            <w:pPr>
              <w:pStyle w:val="36"/>
              <w:jc w:val="center"/>
              <w:rPr>
                <w:rFonts w:hint="eastAsia" w:ascii="宋体" w:hAnsi="宋体" w:eastAsia="宋体" w:cs="宋体"/>
                <w:color w:val="000000"/>
                <w:sz w:val="24"/>
                <w:szCs w:val="24"/>
              </w:rPr>
            </w:pPr>
            <w:r>
              <w:rPr>
                <w:rFonts w:hint="eastAsia" w:ascii="宋体" w:hAnsi="宋体" w:eastAsia="宋体" w:cs="宋体"/>
                <w:sz w:val="24"/>
                <w:szCs w:val="24"/>
              </w:rPr>
              <w:t>t</w:t>
            </w:r>
            <w:r>
              <w:rPr>
                <w:rFonts w:hint="eastAsia" w:ascii="宋体" w:hAnsi="宋体" w:eastAsia="宋体" w:cs="宋体"/>
                <w:sz w:val="24"/>
                <w:szCs w:val="24"/>
                <w:vertAlign w:val="subscript"/>
              </w:rPr>
              <w:t>ow</w:t>
            </w:r>
          </w:p>
        </w:tc>
        <w:tc>
          <w:tcPr>
            <w:tcW w:w="835" w:type="pct"/>
            <w:noWrap w:val="0"/>
            <w:vAlign w:val="center"/>
          </w:tcPr>
          <w:p w14:paraId="255301B1">
            <w:pPr>
              <w:pStyle w:val="37"/>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6D8367BE">
            <w:pPr>
              <w:autoSpaceDN w:val="0"/>
              <w:jc w:val="center"/>
              <w:textAlignment w:val="center"/>
              <w:rPr>
                <w:rFonts w:hint="eastAsia" w:ascii="宋体" w:hAnsi="宋体" w:eastAsia="宋体" w:cs="宋体"/>
                <w:sz w:val="24"/>
                <w:szCs w:val="24"/>
                <w:lang w:val="en-US" w:eastAsia="zh-CN"/>
              </w:rPr>
            </w:pPr>
          </w:p>
        </w:tc>
      </w:tr>
      <w:tr w14:paraId="294F0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50DE92B2">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34C7F6E6">
            <w:pPr>
              <w:pStyle w:val="38"/>
              <w:jc w:val="center"/>
              <w:rPr>
                <w:rFonts w:hint="eastAsia" w:ascii="宋体" w:hAnsi="宋体" w:eastAsia="宋体" w:cs="宋体"/>
                <w:color w:val="000000"/>
                <w:sz w:val="24"/>
                <w:szCs w:val="24"/>
              </w:rPr>
            </w:pPr>
            <w:r>
              <w:rPr>
                <w:rFonts w:hint="eastAsia" w:ascii="宋体" w:hAnsi="宋体" w:eastAsia="宋体" w:cs="宋体"/>
                <w:sz w:val="24"/>
                <w:szCs w:val="24"/>
              </w:rPr>
              <w:t>排烟温度</w:t>
            </w:r>
          </w:p>
        </w:tc>
        <w:tc>
          <w:tcPr>
            <w:tcW w:w="880" w:type="pct"/>
            <w:noWrap w:val="0"/>
            <w:vAlign w:val="center"/>
          </w:tcPr>
          <w:p w14:paraId="16239DF0">
            <w:pPr>
              <w:pStyle w:val="39"/>
              <w:jc w:val="center"/>
              <w:rPr>
                <w:rFonts w:hint="eastAsia" w:ascii="宋体" w:hAnsi="宋体" w:eastAsia="宋体" w:cs="宋体"/>
                <w:color w:val="000000"/>
                <w:sz w:val="24"/>
                <w:szCs w:val="24"/>
              </w:rPr>
            </w:pPr>
            <w:r>
              <w:rPr>
                <w:rFonts w:hint="eastAsia" w:ascii="宋体" w:hAnsi="宋体" w:eastAsia="宋体" w:cs="宋体"/>
                <w:sz w:val="24"/>
                <w:szCs w:val="24"/>
              </w:rPr>
              <w:t>t</w:t>
            </w:r>
            <w:r>
              <w:rPr>
                <w:rFonts w:hint="eastAsia" w:ascii="宋体" w:hAnsi="宋体" w:eastAsia="宋体" w:cs="宋体"/>
                <w:sz w:val="24"/>
                <w:szCs w:val="24"/>
                <w:vertAlign w:val="subscript"/>
              </w:rPr>
              <w:t>ds</w:t>
            </w:r>
          </w:p>
        </w:tc>
        <w:tc>
          <w:tcPr>
            <w:tcW w:w="835" w:type="pct"/>
            <w:noWrap w:val="0"/>
            <w:vAlign w:val="center"/>
          </w:tcPr>
          <w:p w14:paraId="7ACC087A">
            <w:pPr>
              <w:pStyle w:val="40"/>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3082C17D">
            <w:pPr>
              <w:autoSpaceDN w:val="0"/>
              <w:jc w:val="center"/>
              <w:textAlignment w:val="center"/>
              <w:rPr>
                <w:rFonts w:hint="eastAsia" w:ascii="宋体" w:hAnsi="宋体" w:eastAsia="宋体" w:cs="宋体"/>
                <w:sz w:val="24"/>
                <w:szCs w:val="24"/>
                <w:lang w:val="en-US" w:eastAsia="zh-CN"/>
              </w:rPr>
            </w:pPr>
          </w:p>
        </w:tc>
      </w:tr>
      <w:tr w14:paraId="24C90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13C1A1E3">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224BDF1B">
            <w:pPr>
              <w:pStyle w:val="41"/>
              <w:jc w:val="center"/>
              <w:rPr>
                <w:rFonts w:hint="eastAsia" w:ascii="宋体" w:hAnsi="宋体" w:eastAsia="宋体" w:cs="宋体"/>
                <w:color w:val="000000"/>
                <w:sz w:val="24"/>
                <w:szCs w:val="24"/>
              </w:rPr>
            </w:pPr>
            <w:r>
              <w:rPr>
                <w:rFonts w:hint="eastAsia" w:ascii="宋体" w:hAnsi="宋体" w:eastAsia="宋体" w:cs="宋体"/>
                <w:sz w:val="24"/>
                <w:szCs w:val="24"/>
              </w:rPr>
              <w:t>排烟处O</w:t>
            </w:r>
            <w:r>
              <w:rPr>
                <w:rFonts w:hint="eastAsia" w:ascii="宋体" w:hAnsi="宋体" w:eastAsia="宋体" w:cs="宋体"/>
                <w:sz w:val="24"/>
                <w:szCs w:val="24"/>
                <w:vertAlign w:val="subscript"/>
              </w:rPr>
              <w:t>2</w:t>
            </w:r>
            <w:r>
              <w:rPr>
                <w:rFonts w:hint="eastAsia" w:ascii="宋体" w:hAnsi="宋体" w:eastAsia="宋体" w:cs="宋体"/>
                <w:sz w:val="24"/>
                <w:szCs w:val="24"/>
              </w:rPr>
              <w:t>含量</w:t>
            </w:r>
          </w:p>
        </w:tc>
        <w:tc>
          <w:tcPr>
            <w:tcW w:w="880" w:type="pct"/>
            <w:noWrap w:val="0"/>
            <w:vAlign w:val="center"/>
          </w:tcPr>
          <w:p w14:paraId="060DCE01">
            <w:pPr>
              <w:pStyle w:val="42"/>
              <w:jc w:val="center"/>
              <w:rPr>
                <w:rFonts w:hint="eastAsia" w:ascii="宋体" w:hAnsi="宋体" w:eastAsia="宋体" w:cs="宋体"/>
                <w:color w:val="000000"/>
                <w:sz w:val="24"/>
                <w:szCs w:val="24"/>
              </w:rPr>
            </w:pPr>
            <w:r>
              <w:rPr>
                <w:rFonts w:hint="eastAsia" w:ascii="宋体" w:hAnsi="宋体" w:eastAsia="宋体" w:cs="宋体"/>
                <w:sz w:val="24"/>
                <w:szCs w:val="24"/>
              </w:rPr>
              <w:t>O</w:t>
            </w:r>
            <w:r>
              <w:rPr>
                <w:rFonts w:hint="eastAsia" w:ascii="宋体" w:hAnsi="宋体" w:eastAsia="宋体" w:cs="宋体"/>
                <w:sz w:val="24"/>
                <w:szCs w:val="24"/>
                <w:vertAlign w:val="subscript"/>
              </w:rPr>
              <w:t>2</w:t>
            </w:r>
            <w:r>
              <w:rPr>
                <w:rFonts w:hint="eastAsia" w:ascii="宋体" w:hAnsi="宋体" w:eastAsia="宋体" w:cs="宋体"/>
                <w:sz w:val="24"/>
                <w:szCs w:val="24"/>
              </w:rPr>
              <w:t>′</w:t>
            </w:r>
          </w:p>
        </w:tc>
        <w:tc>
          <w:tcPr>
            <w:tcW w:w="835" w:type="pct"/>
            <w:noWrap w:val="0"/>
            <w:vAlign w:val="center"/>
          </w:tcPr>
          <w:p w14:paraId="431304FB">
            <w:pPr>
              <w:pStyle w:val="43"/>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08EA43F8">
            <w:pPr>
              <w:autoSpaceDN w:val="0"/>
              <w:jc w:val="center"/>
              <w:textAlignment w:val="center"/>
              <w:rPr>
                <w:rFonts w:hint="eastAsia" w:ascii="宋体" w:hAnsi="宋体" w:eastAsia="宋体" w:cs="宋体"/>
                <w:sz w:val="24"/>
                <w:szCs w:val="24"/>
                <w:lang w:val="en-US" w:eastAsia="zh-CN"/>
              </w:rPr>
            </w:pPr>
          </w:p>
        </w:tc>
      </w:tr>
      <w:tr w14:paraId="42753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1A730EFB">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03EE085E">
            <w:pPr>
              <w:pStyle w:val="44"/>
              <w:jc w:val="center"/>
              <w:rPr>
                <w:rFonts w:hint="eastAsia" w:ascii="宋体" w:hAnsi="宋体" w:eastAsia="宋体" w:cs="宋体"/>
                <w:color w:val="000000"/>
                <w:sz w:val="24"/>
                <w:szCs w:val="24"/>
              </w:rPr>
            </w:pPr>
            <w:r>
              <w:rPr>
                <w:rFonts w:hint="eastAsia" w:ascii="宋体" w:hAnsi="宋体" w:eastAsia="宋体" w:cs="宋体"/>
                <w:sz w:val="24"/>
                <w:szCs w:val="24"/>
              </w:rPr>
              <w:t>排烟处CO含量</w:t>
            </w:r>
          </w:p>
        </w:tc>
        <w:tc>
          <w:tcPr>
            <w:tcW w:w="880" w:type="pct"/>
            <w:noWrap w:val="0"/>
            <w:vAlign w:val="center"/>
          </w:tcPr>
          <w:p w14:paraId="765706DD">
            <w:pPr>
              <w:pStyle w:val="45"/>
              <w:jc w:val="center"/>
              <w:rPr>
                <w:rFonts w:hint="eastAsia" w:ascii="宋体" w:hAnsi="宋体" w:eastAsia="宋体" w:cs="宋体"/>
                <w:color w:val="000000"/>
                <w:sz w:val="24"/>
                <w:szCs w:val="24"/>
              </w:rPr>
            </w:pPr>
            <w:r>
              <w:rPr>
                <w:rFonts w:hint="eastAsia" w:ascii="宋体" w:hAnsi="宋体" w:eastAsia="宋体" w:cs="宋体"/>
                <w:sz w:val="24"/>
                <w:szCs w:val="24"/>
              </w:rPr>
              <w:t>CO′</w:t>
            </w:r>
          </w:p>
        </w:tc>
        <w:tc>
          <w:tcPr>
            <w:tcW w:w="835" w:type="pct"/>
            <w:noWrap w:val="0"/>
            <w:vAlign w:val="center"/>
          </w:tcPr>
          <w:p w14:paraId="2F7634C0">
            <w:pPr>
              <w:pStyle w:val="46"/>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662BA2B1">
            <w:pPr>
              <w:autoSpaceDN w:val="0"/>
              <w:jc w:val="center"/>
              <w:textAlignment w:val="center"/>
              <w:rPr>
                <w:rFonts w:hint="eastAsia" w:ascii="宋体" w:hAnsi="宋体" w:eastAsia="宋体" w:cs="宋体"/>
                <w:sz w:val="24"/>
                <w:szCs w:val="24"/>
                <w:lang w:val="en-US" w:eastAsia="zh-CN"/>
              </w:rPr>
            </w:pPr>
          </w:p>
        </w:tc>
      </w:tr>
      <w:tr w14:paraId="62A3A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37BFEF12">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593120B2">
            <w:pPr>
              <w:pStyle w:val="47"/>
              <w:jc w:val="center"/>
              <w:rPr>
                <w:rFonts w:hint="eastAsia" w:ascii="宋体" w:hAnsi="宋体" w:eastAsia="宋体" w:cs="宋体"/>
                <w:color w:val="000000"/>
                <w:sz w:val="24"/>
                <w:szCs w:val="24"/>
              </w:rPr>
            </w:pPr>
            <w:r>
              <w:rPr>
                <w:rFonts w:hint="eastAsia" w:ascii="宋体" w:hAnsi="宋体" w:eastAsia="宋体" w:cs="宋体"/>
                <w:sz w:val="24"/>
                <w:szCs w:val="24"/>
              </w:rPr>
              <w:t>入炉冷空气温度</w:t>
            </w:r>
          </w:p>
        </w:tc>
        <w:tc>
          <w:tcPr>
            <w:tcW w:w="880" w:type="pct"/>
            <w:noWrap w:val="0"/>
            <w:vAlign w:val="center"/>
          </w:tcPr>
          <w:p w14:paraId="60B779E5">
            <w:pPr>
              <w:pStyle w:val="48"/>
              <w:jc w:val="center"/>
              <w:rPr>
                <w:rFonts w:hint="eastAsia" w:ascii="宋体" w:hAnsi="宋体" w:eastAsia="宋体" w:cs="宋体"/>
                <w:color w:val="000000"/>
                <w:sz w:val="24"/>
                <w:szCs w:val="24"/>
              </w:rPr>
            </w:pPr>
            <w:r>
              <w:rPr>
                <w:rFonts w:hint="eastAsia" w:ascii="宋体" w:hAnsi="宋体" w:eastAsia="宋体" w:cs="宋体"/>
                <w:sz w:val="24"/>
                <w:szCs w:val="24"/>
              </w:rPr>
              <w:t>t</w:t>
            </w:r>
            <w:r>
              <w:rPr>
                <w:rFonts w:hint="eastAsia" w:ascii="宋体" w:hAnsi="宋体" w:eastAsia="宋体" w:cs="宋体"/>
                <w:sz w:val="24"/>
                <w:szCs w:val="24"/>
                <w:vertAlign w:val="subscript"/>
              </w:rPr>
              <w:t>ca</w:t>
            </w:r>
          </w:p>
        </w:tc>
        <w:tc>
          <w:tcPr>
            <w:tcW w:w="835" w:type="pct"/>
            <w:noWrap w:val="0"/>
            <w:vAlign w:val="center"/>
          </w:tcPr>
          <w:p w14:paraId="47DE6414">
            <w:pPr>
              <w:pStyle w:val="49"/>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02D16E2C">
            <w:pPr>
              <w:autoSpaceDN w:val="0"/>
              <w:jc w:val="center"/>
              <w:textAlignment w:val="center"/>
              <w:rPr>
                <w:rFonts w:hint="eastAsia" w:ascii="宋体" w:hAnsi="宋体" w:eastAsia="宋体" w:cs="宋体"/>
                <w:sz w:val="24"/>
                <w:szCs w:val="24"/>
                <w:lang w:val="en-US" w:eastAsia="zh-CN"/>
              </w:rPr>
            </w:pPr>
          </w:p>
        </w:tc>
      </w:tr>
      <w:tr w14:paraId="46723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0E6EDB00">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7BF38A2B">
            <w:pPr>
              <w:pStyle w:val="50"/>
              <w:jc w:val="center"/>
              <w:rPr>
                <w:rFonts w:hint="eastAsia" w:ascii="宋体" w:hAnsi="宋体" w:eastAsia="宋体" w:cs="宋体"/>
                <w:color w:val="000000"/>
                <w:sz w:val="24"/>
                <w:szCs w:val="24"/>
              </w:rPr>
            </w:pPr>
            <w:r>
              <w:rPr>
                <w:rFonts w:hint="eastAsia" w:ascii="宋体" w:hAnsi="宋体" w:eastAsia="宋体" w:cs="宋体"/>
                <w:sz w:val="24"/>
                <w:szCs w:val="24"/>
              </w:rPr>
              <w:t>燃料收到基低位发热量</w:t>
            </w:r>
          </w:p>
        </w:tc>
        <w:tc>
          <w:tcPr>
            <w:tcW w:w="880" w:type="pct"/>
            <w:noWrap w:val="0"/>
            <w:vAlign w:val="center"/>
          </w:tcPr>
          <w:p w14:paraId="398ACC08">
            <w:pPr>
              <w:pStyle w:val="51"/>
              <w:jc w:val="center"/>
              <w:rPr>
                <w:rFonts w:hint="eastAsia" w:ascii="宋体" w:hAnsi="宋体" w:eastAsia="宋体" w:cs="宋体"/>
                <w:color w:val="000000"/>
                <w:sz w:val="24"/>
                <w:szCs w:val="24"/>
              </w:rPr>
            </w:pPr>
            <w:r>
              <w:rPr>
                <w:rFonts w:hint="eastAsia" w:ascii="宋体" w:hAnsi="宋体" w:eastAsia="宋体" w:cs="宋体"/>
                <w:sz w:val="24"/>
                <w:szCs w:val="24"/>
              </w:rPr>
              <w:t>Q</w:t>
            </w:r>
            <w:r>
              <w:rPr>
                <w:rFonts w:hint="eastAsia" w:ascii="宋体" w:hAnsi="宋体" w:eastAsia="宋体" w:cs="宋体"/>
                <w:sz w:val="24"/>
                <w:szCs w:val="24"/>
                <w:vertAlign w:val="subscript"/>
              </w:rPr>
              <w:t>net,v,ar</w:t>
            </w:r>
          </w:p>
        </w:tc>
        <w:tc>
          <w:tcPr>
            <w:tcW w:w="835" w:type="pct"/>
            <w:noWrap w:val="0"/>
            <w:vAlign w:val="center"/>
          </w:tcPr>
          <w:p w14:paraId="721A5FA3">
            <w:pPr>
              <w:pStyle w:val="52"/>
              <w:jc w:val="center"/>
              <w:rPr>
                <w:rFonts w:hint="eastAsia" w:ascii="宋体" w:hAnsi="宋体" w:eastAsia="宋体" w:cs="宋体"/>
                <w:color w:val="000000"/>
                <w:sz w:val="24"/>
                <w:szCs w:val="24"/>
              </w:rPr>
            </w:pPr>
            <w:r>
              <w:rPr>
                <w:rFonts w:hint="eastAsia" w:ascii="宋体" w:hAnsi="宋体" w:eastAsia="宋体" w:cs="宋体"/>
                <w:sz w:val="24"/>
                <w:szCs w:val="24"/>
              </w:rPr>
              <w:t>kJ/kg</w:t>
            </w:r>
          </w:p>
        </w:tc>
        <w:tc>
          <w:tcPr>
            <w:tcW w:w="707" w:type="pct"/>
            <w:noWrap w:val="0"/>
            <w:vAlign w:val="center"/>
          </w:tcPr>
          <w:p w14:paraId="573810C3">
            <w:pPr>
              <w:autoSpaceDN w:val="0"/>
              <w:jc w:val="center"/>
              <w:textAlignment w:val="center"/>
              <w:rPr>
                <w:rFonts w:hint="eastAsia" w:ascii="宋体" w:hAnsi="宋体" w:eastAsia="宋体" w:cs="宋体"/>
                <w:sz w:val="24"/>
                <w:szCs w:val="24"/>
                <w:lang w:val="en-US" w:eastAsia="zh-CN"/>
              </w:rPr>
            </w:pPr>
          </w:p>
        </w:tc>
      </w:tr>
      <w:tr w14:paraId="36ACE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243D691A">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524E0F4D">
            <w:pPr>
              <w:pStyle w:val="53"/>
              <w:jc w:val="center"/>
              <w:rPr>
                <w:rFonts w:hint="eastAsia" w:ascii="宋体" w:hAnsi="宋体" w:eastAsia="宋体" w:cs="宋体"/>
                <w:color w:val="000000"/>
                <w:sz w:val="24"/>
                <w:szCs w:val="24"/>
              </w:rPr>
            </w:pPr>
            <w:r>
              <w:rPr>
                <w:rFonts w:hint="eastAsia" w:ascii="宋体" w:hAnsi="宋体" w:eastAsia="宋体" w:cs="宋体"/>
                <w:sz w:val="24"/>
                <w:szCs w:val="24"/>
              </w:rPr>
              <w:t>排烟热损失</w:t>
            </w:r>
          </w:p>
        </w:tc>
        <w:tc>
          <w:tcPr>
            <w:tcW w:w="880" w:type="pct"/>
            <w:noWrap w:val="0"/>
            <w:vAlign w:val="center"/>
          </w:tcPr>
          <w:p w14:paraId="7BC1492E">
            <w:pPr>
              <w:pStyle w:val="54"/>
              <w:jc w:val="center"/>
              <w:rPr>
                <w:rFonts w:hint="eastAsia" w:ascii="宋体" w:hAnsi="宋体" w:eastAsia="宋体" w:cs="宋体"/>
                <w:color w:val="000000"/>
                <w:sz w:val="24"/>
                <w:szCs w:val="24"/>
              </w:rPr>
            </w:pPr>
            <w:r>
              <w:rPr>
                <w:rFonts w:hint="eastAsia" w:ascii="宋体" w:hAnsi="宋体" w:eastAsia="宋体" w:cs="宋体"/>
                <w:sz w:val="24"/>
                <w:szCs w:val="24"/>
              </w:rPr>
              <w:t>q</w:t>
            </w:r>
            <w:r>
              <w:rPr>
                <w:rFonts w:hint="eastAsia" w:ascii="宋体" w:hAnsi="宋体" w:eastAsia="宋体" w:cs="宋体"/>
                <w:sz w:val="24"/>
                <w:szCs w:val="24"/>
                <w:vertAlign w:val="subscript"/>
              </w:rPr>
              <w:t>2</w:t>
            </w:r>
          </w:p>
        </w:tc>
        <w:tc>
          <w:tcPr>
            <w:tcW w:w="835" w:type="pct"/>
            <w:noWrap w:val="0"/>
            <w:vAlign w:val="center"/>
          </w:tcPr>
          <w:p w14:paraId="010AE9C7">
            <w:pPr>
              <w:pStyle w:val="55"/>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6769D3C3">
            <w:pPr>
              <w:autoSpaceDN w:val="0"/>
              <w:jc w:val="center"/>
              <w:textAlignment w:val="center"/>
              <w:rPr>
                <w:rFonts w:hint="eastAsia" w:ascii="宋体" w:hAnsi="宋体" w:eastAsia="宋体" w:cs="宋体"/>
                <w:sz w:val="24"/>
                <w:szCs w:val="24"/>
                <w:lang w:val="en-US" w:eastAsia="zh-CN"/>
              </w:rPr>
            </w:pPr>
          </w:p>
        </w:tc>
      </w:tr>
      <w:tr w14:paraId="0A86B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4A968C17">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029825B4">
            <w:pPr>
              <w:pStyle w:val="56"/>
              <w:jc w:val="center"/>
              <w:rPr>
                <w:rFonts w:hint="eastAsia" w:ascii="宋体" w:hAnsi="宋体" w:eastAsia="宋体" w:cs="宋体"/>
                <w:color w:val="000000"/>
                <w:sz w:val="24"/>
                <w:szCs w:val="24"/>
              </w:rPr>
            </w:pPr>
            <w:r>
              <w:rPr>
                <w:rFonts w:hint="eastAsia" w:ascii="宋体" w:hAnsi="宋体" w:eastAsia="宋体" w:cs="宋体"/>
                <w:sz w:val="24"/>
                <w:szCs w:val="24"/>
              </w:rPr>
              <w:t>化学未完全燃烧热损失</w:t>
            </w:r>
          </w:p>
        </w:tc>
        <w:tc>
          <w:tcPr>
            <w:tcW w:w="880" w:type="pct"/>
            <w:noWrap w:val="0"/>
            <w:vAlign w:val="center"/>
          </w:tcPr>
          <w:p w14:paraId="4966BB05">
            <w:pPr>
              <w:pStyle w:val="57"/>
              <w:jc w:val="center"/>
              <w:rPr>
                <w:rFonts w:hint="eastAsia" w:ascii="宋体" w:hAnsi="宋体" w:eastAsia="宋体" w:cs="宋体"/>
                <w:color w:val="000000"/>
                <w:sz w:val="24"/>
                <w:szCs w:val="24"/>
              </w:rPr>
            </w:pPr>
            <w:r>
              <w:rPr>
                <w:rFonts w:hint="eastAsia" w:ascii="宋体" w:hAnsi="宋体" w:eastAsia="宋体" w:cs="宋体"/>
                <w:sz w:val="24"/>
                <w:szCs w:val="24"/>
              </w:rPr>
              <w:t>q</w:t>
            </w:r>
            <w:r>
              <w:rPr>
                <w:rFonts w:hint="eastAsia" w:ascii="宋体" w:hAnsi="宋体" w:eastAsia="宋体" w:cs="宋体"/>
                <w:sz w:val="24"/>
                <w:szCs w:val="24"/>
                <w:vertAlign w:val="subscript"/>
              </w:rPr>
              <w:t>3</w:t>
            </w:r>
          </w:p>
        </w:tc>
        <w:tc>
          <w:tcPr>
            <w:tcW w:w="835" w:type="pct"/>
            <w:noWrap w:val="0"/>
            <w:vAlign w:val="center"/>
          </w:tcPr>
          <w:p w14:paraId="5A758380">
            <w:pPr>
              <w:pStyle w:val="58"/>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1B719720">
            <w:pPr>
              <w:autoSpaceDN w:val="0"/>
              <w:jc w:val="center"/>
              <w:textAlignment w:val="center"/>
              <w:rPr>
                <w:rFonts w:hint="eastAsia" w:ascii="宋体" w:hAnsi="宋体" w:eastAsia="宋体" w:cs="宋体"/>
                <w:sz w:val="24"/>
                <w:szCs w:val="24"/>
                <w:lang w:val="en-US" w:eastAsia="zh-CN"/>
              </w:rPr>
            </w:pPr>
          </w:p>
        </w:tc>
      </w:tr>
      <w:tr w14:paraId="694AA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02575305">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16CECF78">
            <w:pPr>
              <w:pStyle w:val="59"/>
              <w:jc w:val="center"/>
              <w:rPr>
                <w:rFonts w:hint="eastAsia" w:ascii="宋体" w:hAnsi="宋体" w:eastAsia="宋体" w:cs="宋体"/>
                <w:color w:val="000000"/>
                <w:sz w:val="24"/>
                <w:szCs w:val="24"/>
              </w:rPr>
            </w:pPr>
            <w:r>
              <w:rPr>
                <w:rFonts w:hint="eastAsia" w:ascii="宋体" w:hAnsi="宋体" w:eastAsia="宋体" w:cs="宋体"/>
                <w:sz w:val="24"/>
                <w:szCs w:val="24"/>
              </w:rPr>
              <w:t>散热损失</w:t>
            </w:r>
          </w:p>
        </w:tc>
        <w:tc>
          <w:tcPr>
            <w:tcW w:w="880" w:type="pct"/>
            <w:noWrap w:val="0"/>
            <w:vAlign w:val="center"/>
          </w:tcPr>
          <w:p w14:paraId="619BAD9A">
            <w:pPr>
              <w:pStyle w:val="60"/>
              <w:jc w:val="center"/>
              <w:rPr>
                <w:rFonts w:hint="eastAsia" w:ascii="宋体" w:hAnsi="宋体" w:eastAsia="宋体" w:cs="宋体"/>
                <w:color w:val="000000"/>
                <w:sz w:val="24"/>
                <w:szCs w:val="24"/>
              </w:rPr>
            </w:pPr>
            <w:r>
              <w:rPr>
                <w:rFonts w:hint="eastAsia" w:ascii="宋体" w:hAnsi="宋体" w:eastAsia="宋体" w:cs="宋体"/>
                <w:sz w:val="24"/>
                <w:szCs w:val="24"/>
              </w:rPr>
              <w:t>q</w:t>
            </w:r>
            <w:r>
              <w:rPr>
                <w:rFonts w:hint="eastAsia" w:ascii="宋体" w:hAnsi="宋体" w:eastAsia="宋体" w:cs="宋体"/>
                <w:sz w:val="24"/>
                <w:szCs w:val="24"/>
                <w:vertAlign w:val="subscript"/>
              </w:rPr>
              <w:t>5</w:t>
            </w:r>
          </w:p>
        </w:tc>
        <w:tc>
          <w:tcPr>
            <w:tcW w:w="835" w:type="pct"/>
            <w:noWrap w:val="0"/>
            <w:vAlign w:val="center"/>
          </w:tcPr>
          <w:p w14:paraId="2ACC6A02">
            <w:pPr>
              <w:pStyle w:val="61"/>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2AFC74F9">
            <w:pPr>
              <w:autoSpaceDN w:val="0"/>
              <w:jc w:val="center"/>
              <w:textAlignment w:val="center"/>
              <w:rPr>
                <w:rFonts w:hint="eastAsia" w:ascii="宋体" w:hAnsi="宋体" w:eastAsia="宋体" w:cs="宋体"/>
                <w:sz w:val="24"/>
                <w:szCs w:val="24"/>
                <w:lang w:val="en-US" w:eastAsia="zh-CN"/>
              </w:rPr>
            </w:pPr>
          </w:p>
        </w:tc>
      </w:tr>
      <w:tr w14:paraId="042BE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121FF5C0">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660CBF44">
            <w:pPr>
              <w:pStyle w:val="62"/>
              <w:jc w:val="center"/>
              <w:rPr>
                <w:rFonts w:hint="eastAsia" w:ascii="宋体" w:hAnsi="宋体" w:eastAsia="宋体" w:cs="宋体"/>
                <w:color w:val="000000"/>
                <w:sz w:val="24"/>
                <w:szCs w:val="24"/>
              </w:rPr>
            </w:pPr>
            <w:r>
              <w:rPr>
                <w:rFonts w:hint="eastAsia" w:ascii="宋体" w:hAnsi="宋体" w:eastAsia="宋体" w:cs="宋体"/>
                <w:sz w:val="24"/>
                <w:szCs w:val="24"/>
              </w:rPr>
              <w:t>简单测试效率</w:t>
            </w:r>
          </w:p>
        </w:tc>
        <w:tc>
          <w:tcPr>
            <w:tcW w:w="880" w:type="pct"/>
            <w:noWrap w:val="0"/>
            <w:vAlign w:val="center"/>
          </w:tcPr>
          <w:p w14:paraId="203B68A1">
            <w:pPr>
              <w:pStyle w:val="63"/>
              <w:jc w:val="center"/>
              <w:rPr>
                <w:rFonts w:hint="eastAsia" w:ascii="宋体" w:hAnsi="宋体" w:eastAsia="宋体" w:cs="宋体"/>
                <w:color w:val="000000"/>
                <w:sz w:val="24"/>
                <w:szCs w:val="24"/>
              </w:rPr>
            </w:pPr>
            <w:r>
              <w:rPr>
                <w:rFonts w:hint="eastAsia" w:ascii="宋体" w:hAnsi="宋体" w:eastAsia="宋体" w:cs="宋体"/>
                <w:sz w:val="24"/>
                <w:szCs w:val="24"/>
              </w:rPr>
              <w:t>η</w:t>
            </w:r>
            <w:r>
              <w:rPr>
                <w:rFonts w:hint="eastAsia" w:ascii="宋体" w:hAnsi="宋体" w:eastAsia="宋体" w:cs="宋体"/>
                <w:sz w:val="24"/>
                <w:szCs w:val="24"/>
                <w:vertAlign w:val="subscript"/>
              </w:rPr>
              <w:t>j</w:t>
            </w:r>
          </w:p>
        </w:tc>
        <w:tc>
          <w:tcPr>
            <w:tcW w:w="835" w:type="pct"/>
            <w:noWrap w:val="0"/>
            <w:vAlign w:val="center"/>
          </w:tcPr>
          <w:p w14:paraId="00CD984D">
            <w:pPr>
              <w:pStyle w:val="64"/>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116FDF56">
            <w:pPr>
              <w:autoSpaceDN w:val="0"/>
              <w:jc w:val="center"/>
              <w:textAlignment w:val="center"/>
              <w:rPr>
                <w:rFonts w:hint="eastAsia" w:ascii="宋体" w:hAnsi="宋体" w:eastAsia="宋体" w:cs="宋体"/>
                <w:sz w:val="24"/>
                <w:szCs w:val="24"/>
                <w:lang w:val="en-US" w:eastAsia="zh-CN"/>
              </w:rPr>
            </w:pPr>
          </w:p>
        </w:tc>
      </w:tr>
      <w:tr w14:paraId="280AB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6" w:type="pct"/>
            <w:noWrap w:val="0"/>
            <w:vAlign w:val="center"/>
          </w:tcPr>
          <w:p w14:paraId="45664F56">
            <w:pPr>
              <w:numPr>
                <w:ilvl w:val="0"/>
                <w:numId w:val="6"/>
              </w:numPr>
              <w:jc w:val="center"/>
              <w:rPr>
                <w:rFonts w:hint="eastAsia" w:ascii="宋体" w:hAnsi="宋体" w:eastAsia="宋体" w:cs="宋体"/>
                <w:color w:val="000000"/>
                <w:sz w:val="24"/>
                <w:szCs w:val="24"/>
              </w:rPr>
            </w:pPr>
          </w:p>
        </w:tc>
        <w:tc>
          <w:tcPr>
            <w:tcW w:w="2050" w:type="pct"/>
            <w:noWrap w:val="0"/>
            <w:vAlign w:val="center"/>
          </w:tcPr>
          <w:p w14:paraId="415403BD">
            <w:pPr>
              <w:pStyle w:val="65"/>
              <w:jc w:val="center"/>
              <w:rPr>
                <w:rFonts w:hint="eastAsia" w:ascii="宋体" w:hAnsi="宋体" w:eastAsia="宋体" w:cs="宋体"/>
                <w:color w:val="000000"/>
                <w:sz w:val="24"/>
                <w:szCs w:val="24"/>
              </w:rPr>
            </w:pPr>
            <w:r>
              <w:rPr>
                <w:rFonts w:hint="eastAsia" w:ascii="宋体" w:hAnsi="宋体" w:eastAsia="宋体" w:cs="宋体"/>
                <w:sz w:val="24"/>
                <w:szCs w:val="24"/>
              </w:rPr>
              <w:t>排烟处过量空气系数</w:t>
            </w:r>
          </w:p>
        </w:tc>
        <w:tc>
          <w:tcPr>
            <w:tcW w:w="880" w:type="pct"/>
            <w:noWrap w:val="0"/>
            <w:vAlign w:val="center"/>
          </w:tcPr>
          <w:p w14:paraId="5C04808E">
            <w:pPr>
              <w:pStyle w:val="66"/>
              <w:jc w:val="center"/>
              <w:rPr>
                <w:rFonts w:hint="eastAsia" w:ascii="宋体" w:hAnsi="宋体" w:eastAsia="宋体" w:cs="宋体"/>
                <w:color w:val="000000"/>
                <w:sz w:val="24"/>
                <w:szCs w:val="24"/>
              </w:rPr>
            </w:pPr>
            <w:r>
              <w:rPr>
                <w:rFonts w:hint="eastAsia" w:ascii="宋体" w:hAnsi="宋体" w:eastAsia="宋体" w:cs="宋体"/>
                <w:sz w:val="24"/>
                <w:szCs w:val="24"/>
              </w:rPr>
              <w:t>α</w:t>
            </w:r>
            <w:r>
              <w:rPr>
                <w:rFonts w:hint="eastAsia" w:ascii="宋体" w:hAnsi="宋体" w:eastAsia="宋体" w:cs="宋体"/>
                <w:sz w:val="24"/>
                <w:szCs w:val="24"/>
                <w:vertAlign w:val="subscript"/>
              </w:rPr>
              <w:t>ds</w:t>
            </w:r>
          </w:p>
        </w:tc>
        <w:tc>
          <w:tcPr>
            <w:tcW w:w="835" w:type="pct"/>
            <w:noWrap w:val="0"/>
            <w:vAlign w:val="center"/>
          </w:tcPr>
          <w:p w14:paraId="5D604E18">
            <w:pPr>
              <w:pStyle w:val="67"/>
              <w:jc w:val="center"/>
              <w:rPr>
                <w:rFonts w:hint="eastAsia" w:ascii="宋体" w:hAnsi="宋体" w:eastAsia="宋体" w:cs="宋体"/>
                <w:color w:val="000000"/>
                <w:sz w:val="24"/>
                <w:szCs w:val="24"/>
              </w:rPr>
            </w:pPr>
            <w:r>
              <w:rPr>
                <w:rFonts w:hint="eastAsia" w:ascii="宋体" w:hAnsi="宋体" w:eastAsia="宋体" w:cs="宋体"/>
                <w:sz w:val="24"/>
                <w:szCs w:val="24"/>
              </w:rPr>
              <w:t>—</w:t>
            </w:r>
          </w:p>
        </w:tc>
        <w:tc>
          <w:tcPr>
            <w:tcW w:w="707" w:type="pct"/>
            <w:noWrap w:val="0"/>
            <w:vAlign w:val="center"/>
          </w:tcPr>
          <w:p w14:paraId="3FFACB56">
            <w:pPr>
              <w:autoSpaceDN w:val="0"/>
              <w:jc w:val="center"/>
              <w:textAlignment w:val="center"/>
              <w:rPr>
                <w:rFonts w:hint="eastAsia" w:ascii="宋体" w:hAnsi="宋体" w:eastAsia="宋体" w:cs="宋体"/>
                <w:sz w:val="24"/>
                <w:szCs w:val="24"/>
                <w:lang w:val="en-US" w:eastAsia="zh-CN"/>
              </w:rPr>
            </w:pPr>
          </w:p>
        </w:tc>
      </w:tr>
    </w:tbl>
    <w:p w14:paraId="7C4C63C2">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2、具体实施要求：</w:t>
      </w:r>
    </w:p>
    <w:p w14:paraId="2507E27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在用工业锅炉定期能效测试应按照《锅炉节能环保技术规程》约定的方法（附件B）进行。当测试结果（即：在用锅炉实际运行条件下的锅炉热效率）低于限定值95%，若招标方建议对锅炉进行节能诊断时，测试机构应当在报告中提出改进意见。</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党家庄厂区在用燃气锅炉，热效率可参考以下指标：              </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气体燃料锅炉产品额定负荷下热效率目标值和限定值</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9"/>
        <w:gridCol w:w="2734"/>
        <w:gridCol w:w="1699"/>
        <w:gridCol w:w="1796"/>
      </w:tblGrid>
      <w:tr w14:paraId="0B26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719" w:type="dxa"/>
            <w:vMerge w:val="restart"/>
            <w:noWrap w:val="0"/>
            <w:vAlign w:val="center"/>
          </w:tcPr>
          <w:p w14:paraId="25A291B9">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燃料品种</w:t>
            </w:r>
          </w:p>
        </w:tc>
        <w:tc>
          <w:tcPr>
            <w:tcW w:w="2734" w:type="dxa"/>
            <w:vMerge w:val="restart"/>
            <w:noWrap w:val="0"/>
            <w:vAlign w:val="center"/>
          </w:tcPr>
          <w:p w14:paraId="3E18BBFE">
            <w:pPr>
              <w:keepNext w:val="0"/>
              <w:keepLines w:val="0"/>
              <w:pageBreakBefore w:val="0"/>
              <w:widowControl w:val="0"/>
              <w:kinsoku/>
              <w:wordWrap/>
              <w:overflowPunct/>
              <w:topLinePunct w:val="0"/>
              <w:autoSpaceDE/>
              <w:autoSpaceDN/>
              <w:bidi w:val="0"/>
              <w:adjustRightInd/>
              <w:snapToGrid/>
              <w:spacing w:line="480" w:lineRule="exact"/>
              <w:ind w:right="278"/>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燃料收到基低位发热量Qnet,v,ar（kJ/kg)</w:t>
            </w:r>
          </w:p>
        </w:tc>
        <w:tc>
          <w:tcPr>
            <w:tcW w:w="3495" w:type="dxa"/>
            <w:gridSpan w:val="2"/>
            <w:noWrap w:val="0"/>
            <w:vAlign w:val="center"/>
          </w:tcPr>
          <w:p w14:paraId="4FF1DA83">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锅炉热效率（%）</w:t>
            </w:r>
          </w:p>
        </w:tc>
      </w:tr>
      <w:tr w14:paraId="6802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719" w:type="dxa"/>
            <w:vMerge w:val="continue"/>
            <w:noWrap w:val="0"/>
            <w:vAlign w:val="center"/>
          </w:tcPr>
          <w:p w14:paraId="0DEC5C0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p>
        </w:tc>
        <w:tc>
          <w:tcPr>
            <w:tcW w:w="2734" w:type="dxa"/>
            <w:vMerge w:val="continue"/>
            <w:noWrap w:val="0"/>
            <w:vAlign w:val="center"/>
          </w:tcPr>
          <w:p w14:paraId="6D019104">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p>
        </w:tc>
        <w:tc>
          <w:tcPr>
            <w:tcW w:w="1699" w:type="dxa"/>
            <w:noWrap w:val="0"/>
            <w:vAlign w:val="center"/>
          </w:tcPr>
          <w:p w14:paraId="2A63448B">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目标值</w:t>
            </w:r>
          </w:p>
        </w:tc>
        <w:tc>
          <w:tcPr>
            <w:tcW w:w="1796" w:type="dxa"/>
            <w:noWrap w:val="0"/>
            <w:vAlign w:val="center"/>
          </w:tcPr>
          <w:p w14:paraId="38538FB9">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限定值</w:t>
            </w:r>
          </w:p>
        </w:tc>
      </w:tr>
      <w:tr w14:paraId="4BEE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719" w:type="dxa"/>
            <w:noWrap w:val="0"/>
            <w:vAlign w:val="center"/>
          </w:tcPr>
          <w:p w14:paraId="20BF9BE2">
            <w:pPr>
              <w:keepNext w:val="0"/>
              <w:keepLines w:val="0"/>
              <w:pageBreakBefore w:val="0"/>
              <w:widowControl w:val="0"/>
              <w:kinsoku/>
              <w:wordWrap/>
              <w:overflowPunct/>
              <w:topLinePunct w:val="0"/>
              <w:autoSpaceDE/>
              <w:autoSpaceDN/>
              <w:bidi w:val="0"/>
              <w:adjustRightInd/>
              <w:snapToGrid/>
              <w:spacing w:line="480" w:lineRule="exact"/>
              <w:ind w:right="278"/>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天然气（非冷凝锅炉）</w:t>
            </w:r>
          </w:p>
        </w:tc>
        <w:tc>
          <w:tcPr>
            <w:tcW w:w="2734" w:type="dxa"/>
            <w:noWrap w:val="0"/>
            <w:vAlign w:val="center"/>
          </w:tcPr>
          <w:p w14:paraId="3AE93A6E">
            <w:pPr>
              <w:keepNext w:val="0"/>
              <w:keepLines w:val="0"/>
              <w:pageBreakBefore w:val="0"/>
              <w:widowControl w:val="0"/>
              <w:kinsoku/>
              <w:wordWrap/>
              <w:overflowPunct/>
              <w:topLinePunct w:val="0"/>
              <w:autoSpaceDE/>
              <w:autoSpaceDN/>
              <w:bidi w:val="0"/>
              <w:adjustRightInd/>
              <w:snapToGrid/>
              <w:spacing w:line="480" w:lineRule="exact"/>
              <w:ind w:right="278"/>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按照燃料实际化验值</w:t>
            </w:r>
          </w:p>
        </w:tc>
        <w:tc>
          <w:tcPr>
            <w:tcW w:w="1699" w:type="dxa"/>
            <w:noWrap w:val="0"/>
            <w:vAlign w:val="center"/>
          </w:tcPr>
          <w:p w14:paraId="1B849C13">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96</w:t>
            </w:r>
          </w:p>
        </w:tc>
        <w:tc>
          <w:tcPr>
            <w:tcW w:w="1796" w:type="dxa"/>
            <w:noWrap w:val="0"/>
            <w:vAlign w:val="center"/>
          </w:tcPr>
          <w:p w14:paraId="305B43F7">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92</w:t>
            </w:r>
          </w:p>
        </w:tc>
      </w:tr>
    </w:tbl>
    <w:p w14:paraId="0845FC52">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2.2在用工业锅炉定期能效测试</w:t>
      </w:r>
    </w:p>
    <w:p w14:paraId="7DC81E04">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党家庄厂区燃气锅炉的在用定期能效测试，一般根据测试目的，按照GB/T10180选择锅炉运行工况热效率简单测试（简称锅炉简单测试），或者锅炉运行工况热效率详细测试（简称锅炉详细测试）。</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2.3能效测试基本要求</w:t>
      </w:r>
    </w:p>
    <w:p w14:paraId="1F4D4DB5">
      <w:pPr>
        <w:keepNext w:val="0"/>
        <w:keepLines w:val="0"/>
        <w:pageBreakBefore w:val="0"/>
        <w:widowControl w:val="0"/>
        <w:numPr>
          <w:ilvl w:val="0"/>
          <w:numId w:val="7"/>
        </w:numPr>
        <w:kinsoku/>
        <w:wordWrap/>
        <w:overflowPunct/>
        <w:topLinePunct w:val="0"/>
        <w:autoSpaceDE/>
        <w:autoSpaceDN/>
        <w:bidi w:val="0"/>
        <w:adjustRightInd/>
        <w:snapToGrid/>
        <w:spacing w:line="480" w:lineRule="exact"/>
        <w:ind w:left="479" w:leftChars="228" w:right="278"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锅炉负荷</w:t>
      </w:r>
    </w:p>
    <w:p w14:paraId="02025E4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278"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在用锅炉定期能效测试应当在锅炉设计安全运行范围内按照实际运负荷进行。</w:t>
      </w:r>
    </w:p>
    <w:p w14:paraId="66504024">
      <w:pPr>
        <w:keepNext w:val="0"/>
        <w:keepLines w:val="0"/>
        <w:pageBreakBefore w:val="0"/>
        <w:widowControl w:val="0"/>
        <w:numPr>
          <w:ilvl w:val="0"/>
          <w:numId w:val="7"/>
        </w:numPr>
        <w:kinsoku/>
        <w:wordWrap/>
        <w:overflowPunct/>
        <w:topLinePunct w:val="0"/>
        <w:autoSpaceDE/>
        <w:autoSpaceDN/>
        <w:bidi w:val="0"/>
        <w:adjustRightInd/>
        <w:snapToGrid/>
        <w:spacing w:line="480" w:lineRule="exact"/>
        <w:ind w:left="479" w:leftChars="228" w:right="278"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锅炉蒸汽参数的允许波动范围</w:t>
      </w:r>
    </w:p>
    <w:p w14:paraId="6EAC21B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278"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在用锅炉定期能效测试，锅炉蒸汽参数的最大允许波动范围按照运行蒸汽参数最大允许波动范围进行要求。</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（3）锅炉连续测试时间和测试次数</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731"/>
        <w:gridCol w:w="2132"/>
        <w:gridCol w:w="3719"/>
      </w:tblGrid>
      <w:tr w14:paraId="7A4B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pct"/>
            <w:gridSpan w:val="2"/>
            <w:vMerge w:val="restart"/>
            <w:noWrap w:val="0"/>
            <w:vAlign w:val="center"/>
          </w:tcPr>
          <w:p w14:paraId="0548D5F9">
            <w:pPr>
              <w:keepNext w:val="0"/>
              <w:keepLines w:val="0"/>
              <w:pageBreakBefore w:val="0"/>
              <w:widowControl w:val="0"/>
              <w:kinsoku/>
              <w:wordWrap/>
              <w:overflowPunct/>
              <w:topLinePunct w:val="0"/>
              <w:autoSpaceDE/>
              <w:autoSpaceDN/>
              <w:bidi w:val="0"/>
              <w:adjustRightInd/>
              <w:snapToGrid/>
              <w:spacing w:line="480" w:lineRule="exact"/>
              <w:ind w:right="278" w:firstLine="960" w:firstLineChars="4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燃烧方式</w:t>
            </w:r>
          </w:p>
        </w:tc>
        <w:tc>
          <w:tcPr>
            <w:tcW w:w="1148" w:type="pct"/>
            <w:vMerge w:val="restart"/>
            <w:noWrap w:val="0"/>
            <w:vAlign w:val="center"/>
          </w:tcPr>
          <w:p w14:paraId="7B0DD76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测试方法</w:t>
            </w:r>
          </w:p>
        </w:tc>
        <w:tc>
          <w:tcPr>
            <w:tcW w:w="2003" w:type="pct"/>
            <w:noWrap w:val="0"/>
            <w:vAlign w:val="center"/>
          </w:tcPr>
          <w:p w14:paraId="7BB7EF84">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在用锅炉定期能效测试</w:t>
            </w:r>
          </w:p>
        </w:tc>
      </w:tr>
      <w:tr w14:paraId="4985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pct"/>
            <w:gridSpan w:val="2"/>
            <w:vMerge w:val="continue"/>
            <w:noWrap w:val="0"/>
            <w:vAlign w:val="center"/>
          </w:tcPr>
          <w:p w14:paraId="64032FAB">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p>
        </w:tc>
        <w:tc>
          <w:tcPr>
            <w:tcW w:w="1148" w:type="pct"/>
            <w:vMerge w:val="continue"/>
            <w:noWrap w:val="0"/>
            <w:vAlign w:val="center"/>
          </w:tcPr>
          <w:p w14:paraId="0393413D">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p>
        </w:tc>
        <w:tc>
          <w:tcPr>
            <w:tcW w:w="2003" w:type="pct"/>
            <w:noWrap w:val="0"/>
            <w:vAlign w:val="center"/>
          </w:tcPr>
          <w:p w14:paraId="72DA6F84">
            <w:pPr>
              <w:keepNext w:val="0"/>
              <w:keepLines w:val="0"/>
              <w:pageBreakBefore w:val="0"/>
              <w:widowControl w:val="0"/>
              <w:kinsoku/>
              <w:wordWrap/>
              <w:overflowPunct/>
              <w:topLinePunct w:val="0"/>
              <w:autoSpaceDE/>
              <w:autoSpaceDN/>
              <w:bidi w:val="0"/>
              <w:adjustRightInd/>
              <w:snapToGrid/>
              <w:spacing w:line="480" w:lineRule="exact"/>
              <w:ind w:right="278"/>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锅炉简单测试时间和次数</w:t>
            </w:r>
          </w:p>
        </w:tc>
      </w:tr>
      <w:tr w14:paraId="7B8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15" w:type="pct"/>
            <w:noWrap w:val="0"/>
            <w:vAlign w:val="center"/>
          </w:tcPr>
          <w:p w14:paraId="59EE30F5">
            <w:pPr>
              <w:keepNext w:val="0"/>
              <w:keepLines w:val="0"/>
              <w:pageBreakBefore w:val="0"/>
              <w:widowControl w:val="0"/>
              <w:kinsoku/>
              <w:wordWrap/>
              <w:overflowPunct/>
              <w:topLinePunct w:val="0"/>
              <w:autoSpaceDE/>
              <w:autoSpaceDN/>
              <w:bidi w:val="0"/>
              <w:adjustRightInd/>
              <w:snapToGrid/>
              <w:spacing w:line="480" w:lineRule="exact"/>
              <w:ind w:right="278"/>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室燃锅炉</w:t>
            </w:r>
          </w:p>
        </w:tc>
        <w:tc>
          <w:tcPr>
            <w:tcW w:w="931" w:type="pct"/>
            <w:noWrap w:val="0"/>
            <w:vAlign w:val="center"/>
          </w:tcPr>
          <w:p w14:paraId="55B2CAF7">
            <w:pPr>
              <w:keepNext w:val="0"/>
              <w:keepLines w:val="0"/>
              <w:pageBreakBefore w:val="0"/>
              <w:widowControl w:val="0"/>
              <w:kinsoku/>
              <w:wordWrap/>
              <w:overflowPunct/>
              <w:topLinePunct w:val="0"/>
              <w:autoSpaceDE/>
              <w:autoSpaceDN/>
              <w:bidi w:val="0"/>
              <w:adjustRightInd/>
              <w:snapToGrid/>
              <w:spacing w:line="480" w:lineRule="exact"/>
              <w:ind w:right="278"/>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气体燃料</w:t>
            </w:r>
          </w:p>
        </w:tc>
        <w:tc>
          <w:tcPr>
            <w:tcW w:w="1148" w:type="pct"/>
            <w:noWrap w:val="0"/>
            <w:vAlign w:val="center"/>
          </w:tcPr>
          <w:p w14:paraId="60CCE59B">
            <w:pPr>
              <w:keepNext w:val="0"/>
              <w:keepLines w:val="0"/>
              <w:pageBreakBefore w:val="0"/>
              <w:widowControl w:val="0"/>
              <w:kinsoku/>
              <w:wordWrap/>
              <w:overflowPunct/>
              <w:topLinePunct w:val="0"/>
              <w:autoSpaceDE/>
              <w:autoSpaceDN/>
              <w:bidi w:val="0"/>
              <w:adjustRightInd/>
              <w:snapToGrid/>
              <w:spacing w:line="480" w:lineRule="exact"/>
              <w:ind w:right="278"/>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能量平衡法</w:t>
            </w:r>
          </w:p>
        </w:tc>
        <w:tc>
          <w:tcPr>
            <w:tcW w:w="2003" w:type="pct"/>
            <w:noWrap w:val="0"/>
            <w:vAlign w:val="center"/>
          </w:tcPr>
          <w:p w14:paraId="1B87D51A">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0.5h，≥1次</w:t>
            </w:r>
          </w:p>
        </w:tc>
      </w:tr>
    </w:tbl>
    <w:p w14:paraId="21AFCDF7">
      <w:pPr>
        <w:keepNext w:val="0"/>
        <w:keepLines w:val="0"/>
        <w:pageBreakBefore w:val="0"/>
        <w:widowControl w:val="0"/>
        <w:numPr>
          <w:ilvl w:val="0"/>
          <w:numId w:val="7"/>
        </w:numPr>
        <w:kinsoku/>
        <w:wordWrap/>
        <w:overflowPunct/>
        <w:topLinePunct w:val="0"/>
        <w:autoSpaceDE/>
        <w:autoSpaceDN/>
        <w:bidi w:val="0"/>
        <w:adjustRightInd/>
        <w:snapToGrid/>
        <w:spacing w:line="480" w:lineRule="exact"/>
        <w:ind w:left="479" w:leftChars="228" w:right="278"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测试结果确定</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锅炉热效率测试结果为两个工况的算数平均值。</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（5）锅炉能效测试报告</w:t>
      </w:r>
    </w:p>
    <w:p w14:paraId="21540F5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278" w:rightChars="0"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依据《锅炉节能环保技术规程》要求，针对党家庄厂区在用的4台燃气锅炉，在能效测试完成后，10个工作日内出具具有法律效力、得到特种设备监管部门认可的定期能效测试报告。</w:t>
      </w:r>
    </w:p>
    <w:p w14:paraId="13E0393C">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2.4委托方（投标方）保证其向招标方交付的工作成果不存在违法或侵害第三方合法权益的情形，如因委托方交付的工作成果与第三方发生纠纷的，委托方应负责解决纠纷并承担所有责任。</w:t>
      </w:r>
    </w:p>
    <w:p w14:paraId="07712E4B">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2.5委托方（投标方）需对检验检测结果负责，因委托方检测失误造成的所有损失均由委托方负责承担，委托方对检测质量及相关结果承担法律责任。</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2.6锅炉现场能效检测过程中，由具有锅炉检测经验的人员进行实施。</w:t>
      </w:r>
    </w:p>
    <w:p w14:paraId="73EA88A9">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eastAsia="黑体"/>
          <w:b/>
          <w:bCs/>
          <w:sz w:val="28"/>
        </w:rPr>
      </w:pPr>
      <w:bookmarkStart w:id="13" w:name="_Toc47031006"/>
      <w:bookmarkStart w:id="14" w:name="_Toc44077636"/>
      <w:bookmarkStart w:id="15" w:name="_Toc44077687"/>
      <w:r>
        <w:rPr>
          <w:rFonts w:hint="eastAsia" w:ascii="黑体" w:eastAsia="黑体"/>
          <w:b/>
          <w:bCs/>
          <w:sz w:val="28"/>
          <w:lang w:val="en-US" w:eastAsia="zh-CN"/>
        </w:rPr>
        <w:t>二</w:t>
      </w:r>
      <w:r>
        <w:rPr>
          <w:rFonts w:hint="eastAsia" w:ascii="黑体" w:eastAsia="黑体"/>
          <w:b/>
          <w:bCs/>
          <w:sz w:val="28"/>
        </w:rPr>
        <w:t>、</w:t>
      </w:r>
      <w:bookmarkEnd w:id="13"/>
      <w:bookmarkEnd w:id="14"/>
      <w:bookmarkEnd w:id="15"/>
      <w:r>
        <w:rPr>
          <w:rFonts w:hint="eastAsia" w:ascii="黑体" w:eastAsia="黑体"/>
          <w:b/>
          <w:bCs/>
          <w:sz w:val="28"/>
        </w:rPr>
        <w:t>执行标准和规范（按现行最新版本执行，以下可做参考）</w:t>
      </w:r>
    </w:p>
    <w:p w14:paraId="72D02C29">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bookmarkStart w:id="16" w:name="_Toc44077653"/>
      <w:bookmarkStart w:id="17" w:name="_Toc44077704"/>
      <w:bookmarkStart w:id="18" w:name="_Toc47031021"/>
      <w:r>
        <w:rPr>
          <w:rFonts w:hint="eastAsia" w:ascii="宋体" w:hAnsi="宋体" w:eastAsia="宋体" w:cs="宋体"/>
          <w:kern w:val="2"/>
          <w:sz w:val="24"/>
          <w:szCs w:val="24"/>
          <w:lang w:val="en-US" w:eastAsia="zh-CN" w:bidi="ar-SA"/>
        </w:rPr>
        <w:t>《锅炉节能环保技术规程》TSG91-2021</w:t>
      </w:r>
    </w:p>
    <w:p w14:paraId="73E1D03B">
      <w:pPr>
        <w:pStyle w:val="6"/>
        <w:spacing w:line="360" w:lineRule="auto"/>
        <w:outlineLvl w:val="1"/>
        <w:rPr>
          <w:rFonts w:hint="eastAsia" w:ascii="黑体" w:eastAsia="黑体"/>
          <w:b/>
          <w:bCs/>
          <w:sz w:val="28"/>
        </w:rPr>
      </w:pPr>
      <w:r>
        <w:rPr>
          <w:rFonts w:hint="eastAsia" w:ascii="黑体" w:eastAsia="黑体"/>
          <w:b/>
          <w:bCs/>
          <w:sz w:val="28"/>
          <w:lang w:val="en-US" w:eastAsia="zh-CN"/>
        </w:rPr>
        <w:t>三</w:t>
      </w:r>
      <w:r>
        <w:rPr>
          <w:rFonts w:hint="eastAsia" w:ascii="黑体" w:eastAsia="黑体"/>
          <w:b/>
          <w:bCs/>
          <w:sz w:val="28"/>
        </w:rPr>
        <w:t>、</w:t>
      </w:r>
      <w:bookmarkEnd w:id="16"/>
      <w:bookmarkEnd w:id="17"/>
      <w:bookmarkEnd w:id="18"/>
      <w:r>
        <w:rPr>
          <w:rFonts w:hint="eastAsia" w:ascii="黑体" w:eastAsia="黑体"/>
          <w:b/>
          <w:bCs/>
          <w:sz w:val="28"/>
        </w:rPr>
        <w:t>验收要求</w:t>
      </w:r>
    </w:p>
    <w:p w14:paraId="2BF80A1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bookmarkStart w:id="19" w:name="_Toc44077654"/>
      <w:bookmarkStart w:id="20" w:name="_Toc44077705"/>
      <w:bookmarkStart w:id="21" w:name="_Toc47031022"/>
      <w:r>
        <w:rPr>
          <w:rFonts w:hint="eastAsia" w:ascii="宋体" w:hAnsi="宋体" w:eastAsia="宋体" w:cs="宋体"/>
          <w:kern w:val="2"/>
          <w:sz w:val="24"/>
          <w:szCs w:val="24"/>
          <w:lang w:val="en-US" w:eastAsia="zh-CN" w:bidi="ar-SA"/>
        </w:rPr>
        <w:t>（一）验收及评价方法</w:t>
      </w:r>
    </w:p>
    <w:p w14:paraId="7EA1263C">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验收通过标准：按规程及时完成招标方党家厂区4台在用燃气锅炉的能效检测服务工作，出具对应的定期能效测试报告等资料，服务良好。检测报告应加盖检测机构专用印章。</w:t>
      </w:r>
    </w:p>
    <w:bookmarkEnd w:id="19"/>
    <w:bookmarkEnd w:id="20"/>
    <w:bookmarkEnd w:id="21"/>
    <w:p w14:paraId="3A05F309">
      <w:pPr>
        <w:pStyle w:val="6"/>
        <w:spacing w:line="360" w:lineRule="auto"/>
        <w:outlineLvl w:val="1"/>
        <w:rPr>
          <w:rFonts w:hint="eastAsia" w:ascii="黑体" w:hAnsi="Courier New" w:eastAsia="黑体" w:cs="Times New Roman"/>
          <w:b/>
          <w:bCs/>
          <w:sz w:val="28"/>
        </w:rPr>
      </w:pPr>
      <w:r>
        <w:rPr>
          <w:rFonts w:hint="eastAsia" w:ascii="黑体" w:hAnsi="Courier New" w:eastAsia="黑体" w:cs="Times New Roman"/>
          <w:b/>
          <w:bCs/>
          <w:sz w:val="28"/>
          <w:lang w:val="en-US" w:eastAsia="zh-CN"/>
        </w:rPr>
        <w:t>四</w:t>
      </w:r>
      <w:r>
        <w:rPr>
          <w:rFonts w:hint="eastAsia" w:ascii="黑体" w:hAnsi="Courier New" w:eastAsia="黑体" w:cs="Times New Roman"/>
          <w:b/>
          <w:bCs/>
          <w:sz w:val="28"/>
        </w:rPr>
        <w:t>、服务期限</w:t>
      </w:r>
    </w:p>
    <w:p w14:paraId="75DD602B">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总工期为：20天。</w:t>
      </w:r>
    </w:p>
    <w:p w14:paraId="62652CE4">
      <w:pPr>
        <w:rPr>
          <w:rFonts w:hint="eastAsia" w:eastAsia="宋体"/>
          <w:b/>
          <w:bCs/>
          <w:sz w:val="28"/>
          <w:lang w:val="en-US" w:eastAsia="zh-CN"/>
        </w:rPr>
      </w:pPr>
      <w:r>
        <w:rPr>
          <w:rFonts w:hint="eastAsia" w:ascii="仿宋" w:hAnsi="仿宋" w:eastAsia="仿宋" w:cs="仿宋"/>
          <w:b w:val="0"/>
          <w:bCs w:val="0"/>
          <w:spacing w:val="4"/>
          <w:sz w:val="28"/>
          <w:szCs w:val="28"/>
          <w:lang w:val="en-US" w:eastAsia="zh-CN"/>
        </w:rPr>
        <w:br w:type="page"/>
      </w:r>
      <w:r>
        <w:rPr>
          <w:rFonts w:hint="eastAsia" w:eastAsia="黑体"/>
          <w:b/>
          <w:bCs/>
          <w:sz w:val="28"/>
          <w:lang w:val="en-US" w:eastAsia="zh-CN"/>
        </w:rPr>
        <w:t>附件</w:t>
      </w:r>
    </w:p>
    <w:p w14:paraId="79FB27AF">
      <w:pPr>
        <w:widowControl/>
        <w:spacing w:after="120" w:line="500" w:lineRule="exact"/>
        <w:jc w:val="left"/>
        <w:rPr>
          <w:rFonts w:ascii="Times New Roman" w:hAnsi="Times New Roman"/>
          <w:b/>
          <w:color w:val="000000"/>
        </w:rPr>
      </w:pPr>
      <w:r>
        <w:rPr>
          <w:color w:val="000000"/>
          <w:sz w:val="24"/>
          <w:szCs w:val="24"/>
        </w:rPr>
        <w:t>附件</w:t>
      </w:r>
      <w:r>
        <w:rPr>
          <w:rFonts w:hint="eastAsia"/>
          <w:color w:val="000000"/>
          <w:sz w:val="24"/>
          <w:szCs w:val="24"/>
          <w:lang w:val="en-US" w:eastAsia="zh-CN"/>
        </w:rPr>
        <w:t>1</w:t>
      </w:r>
      <w:r>
        <w:rPr>
          <w:color w:val="000000"/>
          <w:sz w:val="24"/>
          <w:szCs w:val="24"/>
        </w:rPr>
        <w:t>：</w:t>
      </w:r>
      <w:r>
        <w:rPr>
          <w:rFonts w:hAnsi="Times New Roman"/>
          <w:color w:val="000000"/>
        </w:rPr>
        <w:t xml:space="preserve">           </w:t>
      </w:r>
      <w:r>
        <w:rPr>
          <w:rFonts w:hAnsi="Times New Roman"/>
          <w:b/>
          <w:color w:val="000000"/>
        </w:rPr>
        <w:t xml:space="preserve"> </w:t>
      </w:r>
      <w:r>
        <w:rPr>
          <w:rFonts w:hAnsi="Times New Roman"/>
          <w:b/>
          <w:color w:val="000000"/>
          <w:sz w:val="32"/>
        </w:rPr>
        <w:t>技术需求偏离表（须点对点应答）</w:t>
      </w:r>
    </w:p>
    <w:p w14:paraId="0B659EBF">
      <w:pPr>
        <w:widowControl/>
        <w:ind w:left="420"/>
        <w:jc w:val="left"/>
        <w:rPr>
          <w:rFonts w:hAnsi="Times New Roman"/>
          <w:color w:val="000000"/>
        </w:rPr>
      </w:pPr>
    </w:p>
    <w:p w14:paraId="046D634E">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color w:val="000000"/>
          <w:sz w:val="24"/>
          <w:szCs w:val="24"/>
          <w:u w:val="single"/>
        </w:rPr>
        <w:t>党家厂区锅炉能效检测项目</w:t>
      </w:r>
      <w:r>
        <w:rPr>
          <w:color w:val="000000"/>
          <w:sz w:val="24"/>
          <w:szCs w:val="24"/>
          <w:u w:val="single"/>
        </w:rPr>
        <w:t xml:space="preserve">   </w:t>
      </w:r>
      <w:r>
        <w:rPr>
          <w:color w:val="000000"/>
          <w:sz w:val="24"/>
          <w:szCs w:val="24"/>
        </w:rPr>
        <w:t xml:space="preserve"> 招标编号：</w:t>
      </w:r>
      <w:r>
        <w:rPr>
          <w:rFonts w:hint="eastAsia"/>
          <w:color w:val="000000"/>
          <w:sz w:val="24"/>
          <w:szCs w:val="24"/>
        </w:rPr>
        <w:t>FSCZB2025100151</w:t>
      </w:r>
    </w:p>
    <w:p w14:paraId="3020397A">
      <w:pPr>
        <w:keepNext w:val="0"/>
        <w:keepLines w:val="0"/>
        <w:widowControl/>
        <w:suppressLineNumbers w:val="0"/>
        <w:jc w:val="left"/>
      </w:pPr>
    </w:p>
    <w:p w14:paraId="62C06B1D">
      <w:pPr>
        <w:widowControl/>
        <w:jc w:val="left"/>
        <w:rPr>
          <w:color w:val="000000"/>
          <w:sz w:val="24"/>
          <w:szCs w:val="24"/>
        </w:rPr>
      </w:pPr>
    </w:p>
    <w:tbl>
      <w:tblPr>
        <w:tblStyle w:val="12"/>
        <w:tblW w:w="4998" w:type="pct"/>
        <w:jc w:val="center"/>
        <w:tblLayout w:type="autofit"/>
        <w:tblCellMar>
          <w:top w:w="0" w:type="dxa"/>
          <w:left w:w="0" w:type="dxa"/>
          <w:bottom w:w="0" w:type="dxa"/>
          <w:right w:w="0" w:type="dxa"/>
        </w:tblCellMar>
      </w:tblPr>
      <w:tblGrid>
        <w:gridCol w:w="619"/>
        <w:gridCol w:w="1650"/>
        <w:gridCol w:w="1650"/>
        <w:gridCol w:w="1650"/>
        <w:gridCol w:w="1650"/>
        <w:gridCol w:w="1031"/>
        <w:gridCol w:w="1032"/>
      </w:tblGrid>
      <w:tr w14:paraId="06EB1F36">
        <w:tblPrEx>
          <w:tblCellMar>
            <w:top w:w="0" w:type="dxa"/>
            <w:left w:w="0" w:type="dxa"/>
            <w:bottom w:w="0" w:type="dxa"/>
            <w:right w:w="0" w:type="dxa"/>
          </w:tblCellMar>
        </w:tblPrEx>
        <w:trPr>
          <w:trHeight w:val="886" w:hRule="atLeast"/>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6A5015">
            <w:pPr>
              <w:widowControl/>
              <w:spacing w:line="420" w:lineRule="exact"/>
              <w:jc w:val="center"/>
              <w:rPr>
                <w:color w:val="000000"/>
                <w:sz w:val="24"/>
                <w:szCs w:val="24"/>
              </w:rPr>
            </w:pPr>
            <w:r>
              <w:rPr>
                <w:color w:val="000000"/>
                <w:sz w:val="24"/>
                <w:szCs w:val="24"/>
              </w:rPr>
              <w:t>序号</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47FA06">
            <w:pPr>
              <w:widowControl/>
              <w:spacing w:line="420" w:lineRule="exact"/>
              <w:jc w:val="center"/>
              <w:rPr>
                <w:color w:val="000000"/>
                <w:sz w:val="24"/>
                <w:szCs w:val="24"/>
              </w:rPr>
            </w:pPr>
            <w:r>
              <w:rPr>
                <w:color w:val="000000"/>
                <w:sz w:val="24"/>
                <w:szCs w:val="24"/>
              </w:rPr>
              <w:t>工程项目</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B5352C">
            <w:pPr>
              <w:widowControl/>
              <w:spacing w:line="420" w:lineRule="exact"/>
              <w:jc w:val="center"/>
              <w:rPr>
                <w:color w:val="000000"/>
                <w:sz w:val="24"/>
                <w:szCs w:val="24"/>
              </w:rPr>
            </w:pPr>
            <w:r>
              <w:rPr>
                <w:color w:val="000000"/>
                <w:sz w:val="24"/>
                <w:szCs w:val="24"/>
              </w:rPr>
              <w:t>招标文件</w:t>
            </w:r>
          </w:p>
          <w:p w14:paraId="5C165F44">
            <w:pPr>
              <w:widowControl/>
              <w:spacing w:line="420" w:lineRule="exact"/>
              <w:jc w:val="center"/>
              <w:rPr>
                <w:color w:val="000000"/>
                <w:sz w:val="24"/>
                <w:szCs w:val="24"/>
              </w:rPr>
            </w:pPr>
            <w:r>
              <w:rPr>
                <w:color w:val="000000"/>
                <w:sz w:val="24"/>
                <w:szCs w:val="24"/>
              </w:rPr>
              <w:t>条目号</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5D8536">
            <w:pPr>
              <w:widowControl/>
              <w:spacing w:line="420" w:lineRule="exact"/>
              <w:jc w:val="center"/>
              <w:rPr>
                <w:color w:val="000000"/>
                <w:sz w:val="24"/>
                <w:szCs w:val="24"/>
              </w:rPr>
            </w:pPr>
            <w:r>
              <w:rPr>
                <w:color w:val="000000"/>
                <w:sz w:val="24"/>
                <w:szCs w:val="24"/>
              </w:rPr>
              <w:t>招标规格</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DA9573">
            <w:pPr>
              <w:widowControl/>
              <w:spacing w:line="420" w:lineRule="exact"/>
              <w:jc w:val="center"/>
              <w:rPr>
                <w:color w:val="000000"/>
                <w:sz w:val="24"/>
                <w:szCs w:val="24"/>
              </w:rPr>
            </w:pPr>
            <w:r>
              <w:rPr>
                <w:color w:val="000000"/>
                <w:sz w:val="24"/>
                <w:szCs w:val="24"/>
              </w:rPr>
              <w:t>投标规格</w:t>
            </w: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48B524">
            <w:pPr>
              <w:widowControl/>
              <w:spacing w:line="420" w:lineRule="exact"/>
              <w:jc w:val="center"/>
              <w:rPr>
                <w:color w:val="000000"/>
                <w:sz w:val="24"/>
                <w:szCs w:val="24"/>
              </w:rPr>
            </w:pPr>
            <w:r>
              <w:rPr>
                <w:color w:val="000000"/>
                <w:sz w:val="24"/>
                <w:szCs w:val="24"/>
              </w:rPr>
              <w:t>响应/偏离</w:t>
            </w: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585A19">
            <w:pPr>
              <w:widowControl/>
              <w:spacing w:line="420" w:lineRule="exact"/>
              <w:jc w:val="center"/>
              <w:rPr>
                <w:color w:val="000000"/>
                <w:sz w:val="24"/>
                <w:szCs w:val="24"/>
              </w:rPr>
            </w:pPr>
            <w:r>
              <w:rPr>
                <w:color w:val="000000"/>
                <w:sz w:val="24"/>
                <w:szCs w:val="24"/>
              </w:rPr>
              <w:t>说明</w:t>
            </w:r>
          </w:p>
        </w:tc>
      </w:tr>
      <w:tr w14:paraId="38DF8249">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950FEE">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F4B3CB">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B157FA">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E3B381E">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3069C5E">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5031796">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9B80F1">
            <w:pPr>
              <w:widowControl/>
              <w:spacing w:line="800" w:lineRule="exact"/>
              <w:jc w:val="left"/>
              <w:rPr>
                <w:color w:val="000000"/>
                <w:sz w:val="24"/>
                <w:szCs w:val="24"/>
              </w:rPr>
            </w:pPr>
          </w:p>
        </w:tc>
      </w:tr>
      <w:tr w14:paraId="470D22BD">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42998B">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8C15C6">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53D33A">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C71387">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0B8B18">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D2646D9">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6DA79F">
            <w:pPr>
              <w:widowControl/>
              <w:spacing w:line="800" w:lineRule="exact"/>
              <w:jc w:val="left"/>
              <w:rPr>
                <w:color w:val="000000"/>
                <w:sz w:val="24"/>
                <w:szCs w:val="24"/>
              </w:rPr>
            </w:pPr>
          </w:p>
        </w:tc>
      </w:tr>
      <w:tr w14:paraId="7DC09912">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9BDA748">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2DB52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1A8DB8">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7F431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1E7D444">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C0966DE">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81E73C8">
            <w:pPr>
              <w:widowControl/>
              <w:spacing w:line="800" w:lineRule="exact"/>
              <w:jc w:val="left"/>
              <w:rPr>
                <w:color w:val="000000"/>
                <w:sz w:val="24"/>
                <w:szCs w:val="24"/>
              </w:rPr>
            </w:pPr>
          </w:p>
        </w:tc>
      </w:tr>
      <w:tr w14:paraId="1BA2C82F">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B0A1B4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968E402">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03080F">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AC689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EAE662">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178B67">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25F9BB">
            <w:pPr>
              <w:widowControl/>
              <w:spacing w:line="800" w:lineRule="exact"/>
              <w:jc w:val="left"/>
              <w:rPr>
                <w:color w:val="000000"/>
                <w:sz w:val="24"/>
                <w:szCs w:val="24"/>
              </w:rPr>
            </w:pPr>
          </w:p>
        </w:tc>
      </w:tr>
      <w:tr w14:paraId="7D4D0DB7">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A3A1A0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456A7BD">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D6D378">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7C12E33">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855307C">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288FF98">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B139706">
            <w:pPr>
              <w:widowControl/>
              <w:spacing w:line="800" w:lineRule="exact"/>
              <w:jc w:val="left"/>
              <w:rPr>
                <w:color w:val="000000"/>
                <w:sz w:val="24"/>
                <w:szCs w:val="24"/>
              </w:rPr>
            </w:pPr>
          </w:p>
        </w:tc>
      </w:tr>
      <w:tr w14:paraId="30BFD83E">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1E7175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F27A331">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4F3264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4DA24C6">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B61471F">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2AB66CA">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A9A69CE">
            <w:pPr>
              <w:widowControl/>
              <w:spacing w:line="800" w:lineRule="exact"/>
              <w:jc w:val="left"/>
              <w:rPr>
                <w:color w:val="000000"/>
                <w:sz w:val="24"/>
                <w:szCs w:val="24"/>
              </w:rPr>
            </w:pPr>
          </w:p>
        </w:tc>
      </w:tr>
      <w:tr w14:paraId="10C0DF7C">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AD69940">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83373C2">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0AB898B">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4F64EA">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732E7E">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3246827">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DDC21F">
            <w:pPr>
              <w:widowControl/>
              <w:spacing w:line="800" w:lineRule="exact"/>
              <w:jc w:val="left"/>
              <w:rPr>
                <w:color w:val="000000"/>
                <w:sz w:val="24"/>
                <w:szCs w:val="24"/>
              </w:rPr>
            </w:pPr>
          </w:p>
        </w:tc>
      </w:tr>
      <w:tr w14:paraId="09865E52">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C89BE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A45CA9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71645B8">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B72C3F7">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FD22B8">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089649">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DC870B6">
            <w:pPr>
              <w:widowControl/>
              <w:spacing w:line="800" w:lineRule="exact"/>
              <w:jc w:val="left"/>
              <w:rPr>
                <w:color w:val="000000"/>
                <w:sz w:val="24"/>
                <w:szCs w:val="24"/>
              </w:rPr>
            </w:pPr>
          </w:p>
        </w:tc>
      </w:tr>
    </w:tbl>
    <w:p w14:paraId="1B20283A">
      <w:pPr>
        <w:widowControl/>
        <w:spacing w:line="500" w:lineRule="exact"/>
        <w:ind w:firstLine="1440"/>
        <w:jc w:val="left"/>
        <w:rPr>
          <w:color w:val="000000"/>
          <w:sz w:val="24"/>
          <w:szCs w:val="24"/>
        </w:rPr>
      </w:pPr>
    </w:p>
    <w:p w14:paraId="10F4763E">
      <w:pPr>
        <w:widowControl/>
        <w:spacing w:line="500" w:lineRule="exact"/>
        <w:ind w:firstLine="456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42607AD1">
      <w:pPr>
        <w:widowControl/>
        <w:spacing w:line="500" w:lineRule="exact"/>
        <w:jc w:val="center"/>
        <w:rPr>
          <w:b/>
          <w:color w:val="000000"/>
          <w:sz w:val="24"/>
          <w:szCs w:val="24"/>
        </w:rPr>
      </w:pPr>
      <w:r>
        <w:rPr>
          <w:color w:val="000000"/>
          <w:sz w:val="24"/>
          <w:szCs w:val="24"/>
        </w:rPr>
        <w:t xml:space="preserve">                                        日期：</w:t>
      </w:r>
    </w:p>
    <w:p w14:paraId="6F061056">
      <w:pPr>
        <w:widowControl/>
        <w:ind w:left="420"/>
        <w:jc w:val="left"/>
        <w:rPr>
          <w:color w:val="000000"/>
          <w:sz w:val="24"/>
          <w:szCs w:val="24"/>
        </w:rPr>
      </w:pPr>
    </w:p>
    <w:p w14:paraId="1EB5CE57">
      <w:pPr>
        <w:widowControl/>
        <w:spacing w:line="480" w:lineRule="exact"/>
        <w:ind w:left="238"/>
        <w:jc w:val="left"/>
        <w:rPr>
          <w:rFonts w:hint="default" w:ascii="黑体" w:hAnsi="Courier New" w:eastAsia="黑体" w:cs="Times New Roman"/>
          <w:b/>
          <w:bCs/>
          <w:sz w:val="28"/>
          <w:lang w:val="en-US" w:eastAsia="zh-CN"/>
        </w:rPr>
      </w:pPr>
      <w:r>
        <w:rPr>
          <w:color w:val="000000"/>
          <w:sz w:val="24"/>
          <w:szCs w:val="24"/>
        </w:rPr>
        <w:t>注：投标人须对照招标文件技术需求，逐条说明所提供施工工程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371ED04E">
      <w:pPr>
        <w:pStyle w:val="6"/>
        <w:outlineLvl w:val="2"/>
        <w:rPr>
          <w:rFonts w:hint="eastAsia" w:hAnsi="宋体" w:eastAsia="宋体" w:cs="宋体"/>
          <w:b/>
          <w:bCs/>
          <w:color w:val="000000"/>
          <w:sz w:val="24"/>
          <w:szCs w:val="24"/>
          <w:highlight w:val="none"/>
        </w:rPr>
      </w:pPr>
    </w:p>
    <w:bookmarkEnd w:id="12"/>
    <w:p w14:paraId="49BAF3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2" w:name="_Toc353881012"/>
      <w:bookmarkStart w:id="23" w:name="_Toc212369550"/>
      <w:bookmarkStart w:id="24" w:name="_Toc639004"/>
      <w:bookmarkStart w:id="2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2"/>
      <w:bookmarkEnd w:id="23"/>
      <w:bookmarkEnd w:id="24"/>
      <w:bookmarkEnd w:id="25"/>
    </w:p>
    <w:p w14:paraId="6B434C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689B528">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党家厂区锅炉能效检测项目（2025年）</w:t>
      </w:r>
      <w:r>
        <w:rPr>
          <w:rFonts w:hint="eastAsia" w:ascii="宋体" w:hAnsi="宋体" w:cs="宋体"/>
          <w:b/>
          <w:bCs/>
          <w:sz w:val="24"/>
          <w:szCs w:val="24"/>
          <w:highlight w:val="none"/>
          <w:u w:val="single"/>
          <w:lang w:val="en-US" w:eastAsia="zh-CN"/>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75BC68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F4E7D2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A14D0A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ED9EE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79B436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445230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075C7B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74F81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B111F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FB577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2AD40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156CD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35854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26488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67CF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AF93E8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BE6F399">
      <w:pPr>
        <w:rPr>
          <w:rFonts w:ascii="黑体" w:hAnsi="Calibri" w:eastAsia="黑体" w:cs="Times New Roman"/>
          <w:color w:val="000000"/>
          <w:sz w:val="24"/>
          <w:szCs w:val="24"/>
        </w:rPr>
      </w:pPr>
    </w:p>
    <w:p w14:paraId="69DD60BE">
      <w:pPr>
        <w:pStyle w:val="6"/>
        <w:rPr>
          <w:rFonts w:ascii="黑体" w:hAnsi="Calibri" w:eastAsia="黑体" w:cs="Times New Roman"/>
          <w:color w:val="000000"/>
          <w:sz w:val="24"/>
          <w:szCs w:val="24"/>
        </w:rPr>
      </w:pPr>
    </w:p>
    <w:p w14:paraId="3CA332A9">
      <w:pPr>
        <w:pStyle w:val="6"/>
        <w:rPr>
          <w:rFonts w:ascii="黑体" w:hAnsi="Calibri" w:eastAsia="黑体" w:cs="Times New Roman"/>
          <w:color w:val="000000"/>
          <w:sz w:val="24"/>
          <w:szCs w:val="24"/>
        </w:rPr>
      </w:pPr>
    </w:p>
    <w:p w14:paraId="0E68CCB8">
      <w:pPr>
        <w:pStyle w:val="6"/>
        <w:rPr>
          <w:rFonts w:ascii="黑体" w:hAnsi="Calibri" w:eastAsia="黑体" w:cs="Times New Roman"/>
          <w:color w:val="000000"/>
          <w:sz w:val="24"/>
          <w:szCs w:val="24"/>
        </w:rPr>
      </w:pPr>
    </w:p>
    <w:p w14:paraId="719F9883">
      <w:pPr>
        <w:pStyle w:val="6"/>
        <w:rPr>
          <w:rFonts w:ascii="黑体" w:hAnsi="Calibri" w:eastAsia="黑体" w:cs="Times New Roman"/>
          <w:color w:val="000000"/>
          <w:sz w:val="24"/>
          <w:szCs w:val="24"/>
        </w:rPr>
      </w:pPr>
    </w:p>
    <w:p w14:paraId="13392F15">
      <w:pPr>
        <w:rPr>
          <w:rFonts w:ascii="黑体" w:hAnsi="Calibri" w:eastAsia="黑体" w:cs="Times New Roman"/>
          <w:color w:val="000000"/>
          <w:sz w:val="24"/>
          <w:szCs w:val="24"/>
        </w:rPr>
      </w:pPr>
    </w:p>
    <w:p w14:paraId="78E5B441">
      <w:pPr>
        <w:spacing w:line="360" w:lineRule="auto"/>
        <w:ind w:left="795"/>
        <w:rPr>
          <w:rFonts w:hint="eastAsia"/>
        </w:rPr>
      </w:pPr>
    </w:p>
    <w:p w14:paraId="07A4B409">
      <w:pPr>
        <w:keepNext/>
        <w:keepLines/>
        <w:outlineLvl w:val="2"/>
        <w:rPr>
          <w:rFonts w:ascii="Times New Roman" w:hAnsi="Times New Roman" w:eastAsia="宋体" w:cs="Times New Roman"/>
          <w:b/>
          <w:bCs/>
          <w:color w:val="000000"/>
          <w:sz w:val="24"/>
          <w:szCs w:val="24"/>
        </w:rPr>
      </w:pPr>
      <w:r>
        <w:rPr>
          <w:rFonts w:hint="eastAsia" w:eastAsia="黑体"/>
          <w:b/>
          <w:bCs/>
          <w:sz w:val="28"/>
        </w:rPr>
        <w:br w:type="page"/>
      </w: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772DFC6">
      <w:pPr>
        <w:adjustRightInd w:val="0"/>
        <w:snapToGrid w:val="0"/>
        <w:spacing w:before="93" w:beforeLines="30" w:line="240" w:lineRule="exact"/>
        <w:jc w:val="center"/>
        <w:rPr>
          <w:rFonts w:ascii="宋体" w:hAnsi="Calibri" w:eastAsia="宋体" w:cs="Times New Roman"/>
          <w:sz w:val="24"/>
          <w:szCs w:val="20"/>
        </w:rPr>
      </w:pPr>
    </w:p>
    <w:p w14:paraId="37749D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党家厂区锅炉能效检测项目（2025年）</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lang w:val="en-US" w:eastAsia="zh-CN"/>
        </w:rPr>
        <w:t>FSCZB2025100151</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5E426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CE62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5D4225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7668FE6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8D5CD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1C0E0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4488B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E123F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8CEB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5298F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6DA26C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988F6B3">
      <w:pPr>
        <w:rPr>
          <w:rFonts w:ascii="Calibri" w:hAnsi="Calibri" w:eastAsia="黑体" w:cs="Times New Roman"/>
          <w:b/>
          <w:bCs/>
          <w:color w:val="000000"/>
          <w:sz w:val="28"/>
          <w:szCs w:val="20"/>
        </w:rPr>
      </w:pPr>
    </w:p>
    <w:p w14:paraId="2BBD4386">
      <w:pPr>
        <w:pStyle w:val="6"/>
        <w:rPr>
          <w:rFonts w:ascii="Calibri" w:hAnsi="Calibri" w:eastAsia="黑体" w:cs="Times New Roman"/>
          <w:b/>
          <w:bCs/>
          <w:color w:val="000000"/>
          <w:sz w:val="28"/>
          <w:szCs w:val="20"/>
        </w:rPr>
        <w:sectPr>
          <w:footerReference r:id="rId7" w:type="first"/>
          <w:headerReference r:id="rId5" w:type="default"/>
          <w:footerReference r:id="rId6" w:type="default"/>
          <w:pgSz w:w="11906" w:h="16838"/>
          <w:pgMar w:top="1588" w:right="1418" w:bottom="1134" w:left="1418" w:header="851" w:footer="992" w:gutter="0"/>
          <w:cols w:space="720" w:num="1"/>
          <w:titlePg/>
          <w:docGrid w:type="lines" w:linePitch="312" w:charSpace="0"/>
        </w:sectPr>
      </w:pPr>
    </w:p>
    <w:p w14:paraId="746ACF65">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54A6ED7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D080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3C50E8C">
            <w:pPr>
              <w:pStyle w:val="21"/>
              <w:spacing w:before="114"/>
              <w:ind w:left="720"/>
            </w:pPr>
            <w:r>
              <w:t xml:space="preserve">企业名称 </w:t>
            </w:r>
          </w:p>
        </w:tc>
        <w:tc>
          <w:tcPr>
            <w:tcW w:w="4680" w:type="dxa"/>
            <w:gridSpan w:val="4"/>
            <w:vAlign w:val="center"/>
          </w:tcPr>
          <w:p w14:paraId="0CAD4417">
            <w:pPr>
              <w:widowControl/>
              <w:jc w:val="center"/>
              <w:textAlignment w:val="center"/>
              <w:rPr>
                <w:rFonts w:ascii="宋体" w:hAnsi="宋体" w:eastAsia="宋体" w:cs="宋体"/>
                <w:color w:val="000000"/>
              </w:rPr>
            </w:pPr>
          </w:p>
        </w:tc>
        <w:tc>
          <w:tcPr>
            <w:tcW w:w="1310" w:type="dxa"/>
          </w:tcPr>
          <w:p w14:paraId="0A7032B4">
            <w:pPr>
              <w:pStyle w:val="21"/>
              <w:spacing w:before="106"/>
              <w:ind w:left="154" w:right="26"/>
              <w:jc w:val="center"/>
              <w:rPr>
                <w:color w:val="000000"/>
              </w:rPr>
            </w:pPr>
            <w:r>
              <w:rPr>
                <w:color w:val="000000"/>
              </w:rPr>
              <w:t xml:space="preserve">联系人 </w:t>
            </w:r>
          </w:p>
        </w:tc>
        <w:tc>
          <w:tcPr>
            <w:tcW w:w="1510" w:type="dxa"/>
            <w:vAlign w:val="center"/>
          </w:tcPr>
          <w:p w14:paraId="625436B1">
            <w:pPr>
              <w:widowControl/>
              <w:jc w:val="center"/>
              <w:textAlignment w:val="center"/>
              <w:rPr>
                <w:rFonts w:ascii="宋体" w:hAnsi="宋体" w:eastAsia="宋体" w:cs="宋体"/>
                <w:color w:val="000000"/>
                <w:szCs w:val="21"/>
              </w:rPr>
            </w:pPr>
          </w:p>
        </w:tc>
      </w:tr>
      <w:tr w14:paraId="1FB0C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DB549DA">
            <w:pPr>
              <w:pStyle w:val="21"/>
              <w:spacing w:before="114"/>
              <w:ind w:left="720"/>
            </w:pPr>
            <w:r>
              <w:t xml:space="preserve">企业地址 </w:t>
            </w:r>
          </w:p>
        </w:tc>
        <w:tc>
          <w:tcPr>
            <w:tcW w:w="4680" w:type="dxa"/>
            <w:gridSpan w:val="4"/>
            <w:vAlign w:val="center"/>
          </w:tcPr>
          <w:p w14:paraId="154756E6">
            <w:pPr>
              <w:widowControl/>
              <w:jc w:val="center"/>
              <w:textAlignment w:val="center"/>
              <w:rPr>
                <w:rFonts w:ascii="宋体" w:hAnsi="宋体" w:eastAsia="宋体" w:cs="宋体"/>
                <w:color w:val="000000"/>
              </w:rPr>
            </w:pPr>
          </w:p>
        </w:tc>
        <w:tc>
          <w:tcPr>
            <w:tcW w:w="1310" w:type="dxa"/>
          </w:tcPr>
          <w:p w14:paraId="7A4E1213">
            <w:pPr>
              <w:pStyle w:val="21"/>
              <w:spacing w:before="106"/>
              <w:ind w:left="154" w:right="26"/>
              <w:jc w:val="center"/>
              <w:rPr>
                <w:color w:val="000000"/>
              </w:rPr>
            </w:pPr>
            <w:r>
              <w:rPr>
                <w:color w:val="000000"/>
              </w:rPr>
              <w:t xml:space="preserve">联系人电话 </w:t>
            </w:r>
          </w:p>
        </w:tc>
        <w:tc>
          <w:tcPr>
            <w:tcW w:w="1510" w:type="dxa"/>
            <w:vAlign w:val="center"/>
          </w:tcPr>
          <w:p w14:paraId="12595D21">
            <w:pPr>
              <w:widowControl/>
              <w:jc w:val="center"/>
              <w:textAlignment w:val="center"/>
              <w:rPr>
                <w:rFonts w:ascii="宋体" w:hAnsi="宋体" w:eastAsia="宋体" w:cs="宋体"/>
                <w:color w:val="000000"/>
                <w:szCs w:val="21"/>
              </w:rPr>
            </w:pPr>
          </w:p>
        </w:tc>
      </w:tr>
      <w:tr w14:paraId="0D788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B051698">
            <w:pPr>
              <w:pStyle w:val="21"/>
              <w:spacing w:before="111"/>
              <w:ind w:left="720"/>
            </w:pPr>
            <w:r>
              <w:t xml:space="preserve">企业性质 </w:t>
            </w:r>
          </w:p>
        </w:tc>
        <w:tc>
          <w:tcPr>
            <w:tcW w:w="4680" w:type="dxa"/>
            <w:gridSpan w:val="4"/>
            <w:vAlign w:val="center"/>
          </w:tcPr>
          <w:p w14:paraId="2128BB7C">
            <w:pPr>
              <w:widowControl/>
              <w:jc w:val="center"/>
              <w:textAlignment w:val="center"/>
              <w:rPr>
                <w:rFonts w:ascii="宋体" w:hAnsi="宋体" w:eastAsia="宋体" w:cs="宋体"/>
                <w:color w:val="000000"/>
              </w:rPr>
            </w:pPr>
          </w:p>
        </w:tc>
        <w:tc>
          <w:tcPr>
            <w:tcW w:w="1310" w:type="dxa"/>
          </w:tcPr>
          <w:p w14:paraId="5FFE835D">
            <w:pPr>
              <w:pStyle w:val="2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098A52AC">
            <w:pPr>
              <w:widowControl/>
              <w:jc w:val="center"/>
              <w:textAlignment w:val="center"/>
              <w:rPr>
                <w:rFonts w:ascii="宋体" w:hAnsi="宋体" w:eastAsia="宋体" w:cs="宋体"/>
                <w:color w:val="000000"/>
                <w:szCs w:val="21"/>
              </w:rPr>
            </w:pPr>
          </w:p>
        </w:tc>
      </w:tr>
      <w:tr w14:paraId="3972B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13CE508">
            <w:pPr>
              <w:pStyle w:val="21"/>
              <w:spacing w:before="111"/>
              <w:ind w:left="509"/>
              <w:rPr>
                <w:highlight w:val="yellow"/>
              </w:rPr>
            </w:pPr>
            <w:r>
              <w:t xml:space="preserve">企业法人代表  </w:t>
            </w:r>
          </w:p>
        </w:tc>
        <w:tc>
          <w:tcPr>
            <w:tcW w:w="4680" w:type="dxa"/>
            <w:gridSpan w:val="4"/>
          </w:tcPr>
          <w:p w14:paraId="7F8464F8">
            <w:pPr>
              <w:pStyle w:val="3"/>
              <w:keepNext w:val="0"/>
              <w:keepLines w:val="0"/>
              <w:widowControl/>
              <w:shd w:val="clear" w:color="auto" w:fill="FFFFFF"/>
              <w:spacing w:before="0" w:after="0" w:line="450" w:lineRule="atLeast"/>
              <w:rPr>
                <w:rFonts w:ascii="宋体" w:hAnsi="宋体" w:cs="宋体"/>
                <w:color w:val="000000"/>
              </w:rPr>
            </w:pPr>
          </w:p>
        </w:tc>
        <w:tc>
          <w:tcPr>
            <w:tcW w:w="1310" w:type="dxa"/>
          </w:tcPr>
          <w:p w14:paraId="73C572FB">
            <w:pPr>
              <w:pStyle w:val="21"/>
              <w:spacing w:before="103"/>
              <w:ind w:right="26"/>
              <w:jc w:val="center"/>
              <w:rPr>
                <w:color w:val="000000"/>
              </w:rPr>
            </w:pPr>
            <w:r>
              <w:rPr>
                <w:color w:val="000000"/>
              </w:rPr>
              <w:t>企业资质</w:t>
            </w:r>
          </w:p>
        </w:tc>
        <w:tc>
          <w:tcPr>
            <w:tcW w:w="1510" w:type="dxa"/>
            <w:vAlign w:val="center"/>
          </w:tcPr>
          <w:p w14:paraId="2E022DC7">
            <w:pPr>
              <w:widowControl/>
              <w:jc w:val="center"/>
              <w:textAlignment w:val="center"/>
              <w:rPr>
                <w:rFonts w:ascii="宋体" w:hAnsi="宋体" w:eastAsia="宋体" w:cs="宋体"/>
                <w:color w:val="000000"/>
                <w:szCs w:val="21"/>
              </w:rPr>
            </w:pPr>
          </w:p>
        </w:tc>
      </w:tr>
      <w:tr w14:paraId="219E4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EC52E41">
            <w:pPr>
              <w:pStyle w:val="21"/>
              <w:spacing w:before="114"/>
              <w:ind w:left="720"/>
            </w:pPr>
            <w:r>
              <w:t xml:space="preserve">品牌区分 </w:t>
            </w:r>
          </w:p>
        </w:tc>
        <w:tc>
          <w:tcPr>
            <w:tcW w:w="7500" w:type="dxa"/>
            <w:gridSpan w:val="6"/>
          </w:tcPr>
          <w:p w14:paraId="1656B0FF">
            <w:pPr>
              <w:pStyle w:val="2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DA74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7CB9604">
            <w:pPr>
              <w:pStyle w:val="21"/>
              <w:spacing w:before="178"/>
              <w:ind w:left="720"/>
            </w:pPr>
            <w:r>
              <w:t xml:space="preserve">品牌名称 </w:t>
            </w:r>
          </w:p>
        </w:tc>
        <w:tc>
          <w:tcPr>
            <w:tcW w:w="3583" w:type="dxa"/>
            <w:gridSpan w:val="3"/>
            <w:vAlign w:val="center"/>
          </w:tcPr>
          <w:p w14:paraId="4A5838A8">
            <w:pPr>
              <w:widowControl/>
              <w:rPr>
                <w:rFonts w:ascii="宋体" w:hAnsi="宋体" w:eastAsia="仿宋_GB2312"/>
                <w:kern w:val="0"/>
                <w:szCs w:val="21"/>
              </w:rPr>
            </w:pPr>
          </w:p>
        </w:tc>
        <w:tc>
          <w:tcPr>
            <w:tcW w:w="1097" w:type="dxa"/>
          </w:tcPr>
          <w:p w14:paraId="6855799B">
            <w:pPr>
              <w:pStyle w:val="21"/>
              <w:spacing w:before="15"/>
              <w:ind w:left="279"/>
            </w:pPr>
            <w:r>
              <w:rPr>
                <w:spacing w:val="-2"/>
              </w:rPr>
              <w:t>质量</w:t>
            </w:r>
            <w:r>
              <w:t xml:space="preserve"> </w:t>
            </w:r>
          </w:p>
          <w:p w14:paraId="3E011E44">
            <w:pPr>
              <w:pStyle w:val="21"/>
              <w:spacing w:before="30" w:line="277" w:lineRule="exact"/>
              <w:ind w:left="279"/>
            </w:pPr>
            <w:r>
              <w:rPr>
                <w:rFonts w:hint="eastAsia"/>
              </w:rPr>
              <w:t>体系</w:t>
            </w:r>
          </w:p>
        </w:tc>
        <w:tc>
          <w:tcPr>
            <w:tcW w:w="2820" w:type="dxa"/>
            <w:gridSpan w:val="2"/>
          </w:tcPr>
          <w:p w14:paraId="1105E90A">
            <w:pPr>
              <w:pStyle w:val="21"/>
              <w:spacing w:before="158"/>
              <w:jc w:val="center"/>
              <w:rPr>
                <w:sz w:val="24"/>
              </w:rPr>
            </w:pPr>
          </w:p>
        </w:tc>
      </w:tr>
      <w:tr w14:paraId="6B5EB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4D04B05">
            <w:pPr>
              <w:pStyle w:val="21"/>
              <w:spacing w:before="149"/>
              <w:ind w:left="3345" w:right="3223"/>
              <w:jc w:val="center"/>
            </w:pPr>
            <w:r>
              <w:rPr>
                <w:rFonts w:hint="eastAsia"/>
                <w:szCs w:val="21"/>
              </w:rPr>
              <w:t>单位概况</w:t>
            </w:r>
          </w:p>
        </w:tc>
      </w:tr>
      <w:tr w14:paraId="7832E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14:paraId="008A9140">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2DDB58E">
            <w:pPr>
              <w:widowControl/>
              <w:textAlignment w:val="center"/>
              <w:rPr>
                <w:rFonts w:ascii="宋体" w:hAnsi="宋体" w:eastAsia="宋体" w:cs="宋体"/>
                <w:szCs w:val="21"/>
              </w:rPr>
            </w:pPr>
          </w:p>
        </w:tc>
        <w:tc>
          <w:tcPr>
            <w:tcW w:w="1530" w:type="dxa"/>
            <w:vAlign w:val="center"/>
          </w:tcPr>
          <w:p w14:paraId="02F9954C">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20A6B2E">
            <w:pPr>
              <w:widowControl/>
              <w:jc w:val="center"/>
              <w:textAlignment w:val="center"/>
              <w:rPr>
                <w:rFonts w:ascii="宋体" w:hAnsi="宋体" w:eastAsia="宋体" w:cs="宋体"/>
                <w:szCs w:val="21"/>
              </w:rPr>
            </w:pPr>
          </w:p>
        </w:tc>
        <w:tc>
          <w:tcPr>
            <w:tcW w:w="1097" w:type="dxa"/>
            <w:vAlign w:val="center"/>
          </w:tcPr>
          <w:p w14:paraId="5417AD1B">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F95F832">
            <w:pPr>
              <w:widowControl/>
              <w:jc w:val="center"/>
              <w:textAlignment w:val="center"/>
              <w:rPr>
                <w:rFonts w:ascii="宋体" w:hAnsi="宋体" w:eastAsia="宋体" w:cs="宋体"/>
                <w:szCs w:val="21"/>
              </w:rPr>
            </w:pPr>
          </w:p>
        </w:tc>
      </w:tr>
      <w:tr w14:paraId="53B89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3E164C4">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3259897E">
            <w:pPr>
              <w:widowControl/>
              <w:jc w:val="left"/>
              <w:rPr>
                <w:rFonts w:ascii="宋体" w:hAnsi="宋体" w:eastAsia="宋体" w:cs="宋体"/>
                <w:szCs w:val="21"/>
              </w:rPr>
            </w:pPr>
            <w:r>
              <w:rPr>
                <w:rFonts w:hint="eastAsia" w:ascii="宋体" w:hAnsi="宋体" w:eastAsia="宋体" w:cs="宋体"/>
                <w:kern w:val="0"/>
                <w:szCs w:val="21"/>
              </w:rPr>
              <w:t>　</w:t>
            </w:r>
          </w:p>
        </w:tc>
      </w:tr>
      <w:tr w14:paraId="74D04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8A58A9">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512DB270">
            <w:pPr>
              <w:widowControl/>
              <w:jc w:val="left"/>
              <w:rPr>
                <w:rFonts w:ascii="宋体" w:hAnsi="宋体" w:eastAsia="宋体" w:cs="宋体"/>
                <w:szCs w:val="21"/>
              </w:rPr>
            </w:pPr>
            <w:r>
              <w:rPr>
                <w:rFonts w:hint="eastAsia" w:ascii="宋体" w:hAnsi="宋体" w:eastAsia="宋体" w:cs="宋体"/>
                <w:kern w:val="0"/>
                <w:szCs w:val="21"/>
              </w:rPr>
              <w:t>　</w:t>
            </w:r>
          </w:p>
        </w:tc>
      </w:tr>
      <w:tr w14:paraId="70C00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1BBBFF5">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64BE9C0">
            <w:pPr>
              <w:widowControl/>
              <w:jc w:val="left"/>
              <w:rPr>
                <w:rFonts w:ascii="宋体" w:hAnsi="宋体" w:eastAsia="宋体" w:cs="宋体"/>
                <w:szCs w:val="21"/>
              </w:rPr>
            </w:pPr>
            <w:r>
              <w:rPr>
                <w:rFonts w:hint="eastAsia" w:ascii="宋体" w:hAnsi="宋体" w:eastAsia="宋体" w:cs="宋体"/>
                <w:kern w:val="0"/>
                <w:szCs w:val="21"/>
              </w:rPr>
              <w:t>　</w:t>
            </w:r>
          </w:p>
        </w:tc>
      </w:tr>
      <w:tr w14:paraId="0DF0E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CEF1385">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292971FB">
            <w:pPr>
              <w:widowControl/>
              <w:jc w:val="left"/>
              <w:rPr>
                <w:rFonts w:ascii="宋体" w:hAnsi="宋体" w:eastAsia="宋体" w:cs="宋体"/>
                <w:szCs w:val="21"/>
              </w:rPr>
            </w:pPr>
            <w:r>
              <w:rPr>
                <w:rFonts w:hint="eastAsia" w:ascii="宋体" w:hAnsi="宋体" w:eastAsia="宋体" w:cs="宋体"/>
                <w:kern w:val="0"/>
                <w:szCs w:val="21"/>
              </w:rPr>
              <w:t>　</w:t>
            </w:r>
          </w:p>
        </w:tc>
      </w:tr>
      <w:tr w14:paraId="6B381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F019884">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73F5DFA4">
            <w:pPr>
              <w:widowControl/>
              <w:jc w:val="left"/>
              <w:rPr>
                <w:rFonts w:ascii="宋体" w:hAnsi="宋体" w:eastAsia="宋体" w:cs="宋体"/>
                <w:szCs w:val="21"/>
              </w:rPr>
            </w:pPr>
            <w:r>
              <w:rPr>
                <w:rFonts w:hint="eastAsia" w:ascii="宋体" w:hAnsi="宋体" w:eastAsia="宋体" w:cs="宋体"/>
                <w:kern w:val="0"/>
                <w:szCs w:val="21"/>
              </w:rPr>
              <w:t>　</w:t>
            </w:r>
          </w:p>
        </w:tc>
      </w:tr>
      <w:tr w14:paraId="7EFB3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73A8EAE">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BA321AC">
            <w:pPr>
              <w:widowControl/>
              <w:jc w:val="left"/>
              <w:rPr>
                <w:rFonts w:ascii="宋体" w:hAnsi="宋体" w:eastAsia="宋体" w:cs="宋体"/>
                <w:kern w:val="0"/>
                <w:szCs w:val="21"/>
              </w:rPr>
            </w:pPr>
          </w:p>
        </w:tc>
      </w:tr>
    </w:tbl>
    <w:p w14:paraId="670D79BD">
      <w:pPr>
        <w:pStyle w:val="6"/>
        <w:rPr>
          <w:rFonts w:ascii="Times New Roman" w:hAnsi="Times New Roman" w:eastAsia="宋体" w:cs="Times New Roman"/>
          <w:b/>
          <w:bCs/>
          <w:color w:val="000000"/>
          <w:sz w:val="24"/>
          <w:szCs w:val="24"/>
        </w:rPr>
      </w:pPr>
    </w:p>
    <w:p w14:paraId="7BAA91C8">
      <w:pPr>
        <w:pStyle w:val="6"/>
        <w:rPr>
          <w:rFonts w:ascii="Times New Roman" w:hAnsi="Times New Roman" w:eastAsia="宋体" w:cs="Times New Roman"/>
          <w:b/>
          <w:bCs/>
          <w:color w:val="000000"/>
          <w:sz w:val="24"/>
          <w:szCs w:val="24"/>
        </w:rPr>
      </w:pPr>
    </w:p>
    <w:p w14:paraId="22761893">
      <w:pPr>
        <w:pStyle w:val="6"/>
        <w:rPr>
          <w:rFonts w:ascii="Times New Roman" w:hAnsi="Times New Roman" w:eastAsia="宋体" w:cs="Times New Roman"/>
          <w:b/>
          <w:bCs/>
          <w:color w:val="000000"/>
          <w:sz w:val="24"/>
          <w:szCs w:val="24"/>
        </w:rPr>
      </w:pPr>
    </w:p>
    <w:p w14:paraId="75A7E600">
      <w:pPr>
        <w:pStyle w:val="6"/>
        <w:rPr>
          <w:rFonts w:ascii="Times New Roman" w:hAnsi="Times New Roman" w:eastAsia="宋体" w:cs="Times New Roman"/>
          <w:b/>
          <w:bCs/>
          <w:color w:val="000000"/>
          <w:sz w:val="24"/>
          <w:szCs w:val="24"/>
        </w:rPr>
      </w:pPr>
    </w:p>
    <w:p w14:paraId="396F729D">
      <w:pPr>
        <w:pStyle w:val="6"/>
        <w:rPr>
          <w:rFonts w:ascii="Times New Roman" w:hAnsi="Times New Roman" w:eastAsia="宋体" w:cs="Times New Roman"/>
          <w:b/>
          <w:bCs/>
          <w:color w:val="000000"/>
          <w:sz w:val="24"/>
          <w:szCs w:val="24"/>
        </w:rPr>
      </w:pPr>
    </w:p>
    <w:p w14:paraId="3C034D5B">
      <w:pPr>
        <w:pStyle w:val="6"/>
        <w:rPr>
          <w:rFonts w:ascii="Times New Roman" w:hAnsi="Times New Roman" w:eastAsia="宋体" w:cs="Times New Roman"/>
          <w:b/>
          <w:bCs/>
          <w:color w:val="000000"/>
          <w:sz w:val="24"/>
          <w:szCs w:val="24"/>
        </w:rPr>
      </w:pPr>
    </w:p>
    <w:p w14:paraId="34677219">
      <w:pPr>
        <w:pStyle w:val="6"/>
        <w:rPr>
          <w:rFonts w:ascii="Times New Roman" w:hAnsi="Times New Roman" w:eastAsia="宋体" w:cs="Times New Roman"/>
          <w:b/>
          <w:bCs/>
          <w:color w:val="000000"/>
          <w:sz w:val="24"/>
          <w:szCs w:val="24"/>
        </w:rPr>
      </w:pPr>
    </w:p>
    <w:p w14:paraId="1352906F">
      <w:pPr>
        <w:pStyle w:val="6"/>
        <w:rPr>
          <w:rFonts w:ascii="Times New Roman" w:hAnsi="Times New Roman" w:eastAsia="宋体" w:cs="Times New Roman"/>
          <w:b/>
          <w:bCs/>
          <w:color w:val="000000"/>
          <w:sz w:val="24"/>
          <w:szCs w:val="24"/>
        </w:rPr>
      </w:pPr>
    </w:p>
    <w:p w14:paraId="213182D5">
      <w:pPr>
        <w:pStyle w:val="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4C65C34">
      <w:pPr>
        <w:pStyle w:val="6"/>
        <w:outlineLvl w:val="3"/>
        <w:rPr>
          <w:rFonts w:hint="eastAsia" w:ascii="Times New Roman" w:hAnsi="Times New Roman" w:eastAsia="宋体" w:cs="Times New Roman"/>
          <w:b/>
          <w:bCs/>
          <w:color w:val="000000"/>
          <w:sz w:val="24"/>
          <w:szCs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133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00BDC46">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2934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E412F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53B937BD">
            <w:pPr>
              <w:spacing w:line="440" w:lineRule="exact"/>
              <w:jc w:val="center"/>
              <w:rPr>
                <w:rFonts w:ascii="宋体" w:hAnsi="宋体"/>
                <w:color w:val="000000"/>
                <w:sz w:val="24"/>
                <w:szCs w:val="24"/>
                <w:highlight w:val="none"/>
              </w:rPr>
            </w:pPr>
          </w:p>
        </w:tc>
      </w:tr>
      <w:tr w14:paraId="0036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F136B7">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036E3722">
            <w:pPr>
              <w:spacing w:line="440" w:lineRule="exact"/>
              <w:jc w:val="center"/>
              <w:rPr>
                <w:rFonts w:ascii="宋体" w:hAnsi="宋体"/>
                <w:color w:val="000000"/>
                <w:sz w:val="24"/>
                <w:szCs w:val="24"/>
                <w:highlight w:val="none"/>
              </w:rPr>
            </w:pPr>
          </w:p>
        </w:tc>
      </w:tr>
      <w:tr w14:paraId="42DF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D12D9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316A8E8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30F4F66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1AB82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3A9F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3A715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58CDC2F">
            <w:pPr>
              <w:spacing w:line="440" w:lineRule="exact"/>
              <w:jc w:val="center"/>
              <w:rPr>
                <w:rFonts w:ascii="宋体" w:hAnsi="宋体"/>
                <w:color w:val="000000"/>
                <w:sz w:val="24"/>
                <w:szCs w:val="24"/>
                <w:highlight w:val="none"/>
              </w:rPr>
            </w:pPr>
          </w:p>
        </w:tc>
        <w:tc>
          <w:tcPr>
            <w:tcW w:w="1288" w:type="dxa"/>
          </w:tcPr>
          <w:p w14:paraId="25E6B42D">
            <w:pPr>
              <w:spacing w:line="440" w:lineRule="exact"/>
              <w:jc w:val="center"/>
              <w:rPr>
                <w:rFonts w:ascii="宋体" w:hAnsi="宋体"/>
                <w:color w:val="000000"/>
                <w:sz w:val="24"/>
                <w:szCs w:val="24"/>
                <w:highlight w:val="none"/>
              </w:rPr>
            </w:pPr>
          </w:p>
        </w:tc>
        <w:tc>
          <w:tcPr>
            <w:tcW w:w="1288" w:type="dxa"/>
          </w:tcPr>
          <w:p w14:paraId="3FF2EFC2">
            <w:pPr>
              <w:spacing w:line="440" w:lineRule="exact"/>
              <w:jc w:val="center"/>
              <w:rPr>
                <w:rFonts w:ascii="宋体" w:hAnsi="宋体"/>
                <w:color w:val="000000"/>
                <w:sz w:val="24"/>
                <w:szCs w:val="24"/>
                <w:highlight w:val="none"/>
              </w:rPr>
            </w:pPr>
          </w:p>
        </w:tc>
      </w:tr>
      <w:tr w14:paraId="54B4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684B2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0C4F4700">
            <w:pPr>
              <w:spacing w:line="440" w:lineRule="exact"/>
              <w:jc w:val="center"/>
              <w:rPr>
                <w:rFonts w:ascii="宋体" w:hAnsi="宋体"/>
                <w:color w:val="000000"/>
                <w:sz w:val="24"/>
                <w:szCs w:val="24"/>
                <w:highlight w:val="none"/>
              </w:rPr>
            </w:pPr>
          </w:p>
        </w:tc>
        <w:tc>
          <w:tcPr>
            <w:tcW w:w="1288" w:type="dxa"/>
          </w:tcPr>
          <w:p w14:paraId="66B378DD">
            <w:pPr>
              <w:spacing w:line="440" w:lineRule="exact"/>
              <w:jc w:val="center"/>
              <w:rPr>
                <w:rFonts w:ascii="宋体" w:hAnsi="宋体"/>
                <w:color w:val="000000"/>
                <w:sz w:val="24"/>
                <w:szCs w:val="24"/>
                <w:highlight w:val="none"/>
              </w:rPr>
            </w:pPr>
          </w:p>
        </w:tc>
        <w:tc>
          <w:tcPr>
            <w:tcW w:w="1288" w:type="dxa"/>
          </w:tcPr>
          <w:p w14:paraId="39BDA792">
            <w:pPr>
              <w:spacing w:line="440" w:lineRule="exact"/>
              <w:jc w:val="center"/>
              <w:rPr>
                <w:rFonts w:ascii="宋体" w:hAnsi="宋体"/>
                <w:color w:val="000000"/>
                <w:sz w:val="24"/>
                <w:szCs w:val="24"/>
                <w:highlight w:val="none"/>
              </w:rPr>
            </w:pPr>
          </w:p>
        </w:tc>
      </w:tr>
      <w:tr w14:paraId="6371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BF74F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F7FA291">
            <w:pPr>
              <w:spacing w:line="440" w:lineRule="exact"/>
              <w:jc w:val="center"/>
              <w:rPr>
                <w:rFonts w:ascii="宋体" w:hAnsi="宋体"/>
                <w:color w:val="000000"/>
                <w:sz w:val="24"/>
                <w:szCs w:val="24"/>
                <w:highlight w:val="none"/>
              </w:rPr>
            </w:pPr>
          </w:p>
        </w:tc>
        <w:tc>
          <w:tcPr>
            <w:tcW w:w="1288" w:type="dxa"/>
          </w:tcPr>
          <w:p w14:paraId="49FD50C7">
            <w:pPr>
              <w:spacing w:line="440" w:lineRule="exact"/>
              <w:jc w:val="center"/>
              <w:rPr>
                <w:rFonts w:ascii="宋体" w:hAnsi="宋体"/>
                <w:color w:val="000000"/>
                <w:sz w:val="24"/>
                <w:szCs w:val="24"/>
                <w:highlight w:val="none"/>
              </w:rPr>
            </w:pPr>
          </w:p>
        </w:tc>
        <w:tc>
          <w:tcPr>
            <w:tcW w:w="1288" w:type="dxa"/>
          </w:tcPr>
          <w:p w14:paraId="57E2199E">
            <w:pPr>
              <w:spacing w:line="440" w:lineRule="exact"/>
              <w:jc w:val="center"/>
              <w:rPr>
                <w:rFonts w:ascii="宋体" w:hAnsi="宋体"/>
                <w:color w:val="000000"/>
                <w:sz w:val="24"/>
                <w:szCs w:val="24"/>
                <w:highlight w:val="none"/>
              </w:rPr>
            </w:pPr>
          </w:p>
        </w:tc>
      </w:tr>
      <w:tr w14:paraId="3F55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2331B02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25204010">
            <w:pPr>
              <w:spacing w:line="440" w:lineRule="exact"/>
              <w:jc w:val="center"/>
              <w:rPr>
                <w:rFonts w:ascii="宋体" w:hAnsi="宋体"/>
                <w:color w:val="000000"/>
                <w:sz w:val="24"/>
                <w:szCs w:val="24"/>
                <w:highlight w:val="none"/>
              </w:rPr>
            </w:pPr>
          </w:p>
        </w:tc>
        <w:tc>
          <w:tcPr>
            <w:tcW w:w="1288" w:type="dxa"/>
          </w:tcPr>
          <w:p w14:paraId="221C0B06">
            <w:pPr>
              <w:spacing w:line="440" w:lineRule="exact"/>
              <w:jc w:val="center"/>
              <w:rPr>
                <w:rFonts w:ascii="宋体" w:hAnsi="宋体"/>
                <w:color w:val="000000"/>
                <w:sz w:val="24"/>
                <w:szCs w:val="24"/>
                <w:highlight w:val="none"/>
              </w:rPr>
            </w:pPr>
          </w:p>
        </w:tc>
        <w:tc>
          <w:tcPr>
            <w:tcW w:w="1288" w:type="dxa"/>
          </w:tcPr>
          <w:p w14:paraId="6A9072CF">
            <w:pPr>
              <w:spacing w:line="440" w:lineRule="exact"/>
              <w:jc w:val="center"/>
              <w:rPr>
                <w:rFonts w:ascii="宋体" w:hAnsi="宋体"/>
                <w:color w:val="000000"/>
                <w:sz w:val="24"/>
                <w:szCs w:val="24"/>
                <w:highlight w:val="none"/>
              </w:rPr>
            </w:pPr>
          </w:p>
        </w:tc>
      </w:tr>
      <w:tr w14:paraId="2042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C0FCB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5E329014">
            <w:pPr>
              <w:spacing w:line="440" w:lineRule="exact"/>
              <w:jc w:val="center"/>
              <w:rPr>
                <w:rFonts w:ascii="宋体" w:hAnsi="宋体"/>
                <w:color w:val="000000"/>
                <w:sz w:val="24"/>
                <w:szCs w:val="24"/>
                <w:highlight w:val="none"/>
              </w:rPr>
            </w:pPr>
          </w:p>
        </w:tc>
        <w:tc>
          <w:tcPr>
            <w:tcW w:w="1288" w:type="dxa"/>
          </w:tcPr>
          <w:p w14:paraId="5ACF2F5D">
            <w:pPr>
              <w:spacing w:line="440" w:lineRule="exact"/>
              <w:jc w:val="center"/>
              <w:rPr>
                <w:rFonts w:ascii="宋体" w:hAnsi="宋体"/>
                <w:color w:val="000000"/>
                <w:sz w:val="24"/>
                <w:szCs w:val="24"/>
                <w:highlight w:val="none"/>
              </w:rPr>
            </w:pPr>
          </w:p>
        </w:tc>
        <w:tc>
          <w:tcPr>
            <w:tcW w:w="1288" w:type="dxa"/>
          </w:tcPr>
          <w:p w14:paraId="24A1B5D5">
            <w:pPr>
              <w:spacing w:line="440" w:lineRule="exact"/>
              <w:jc w:val="center"/>
              <w:rPr>
                <w:rFonts w:ascii="宋体" w:hAnsi="宋体"/>
                <w:color w:val="000000"/>
                <w:sz w:val="24"/>
                <w:szCs w:val="24"/>
                <w:highlight w:val="none"/>
              </w:rPr>
            </w:pPr>
          </w:p>
        </w:tc>
      </w:tr>
      <w:tr w14:paraId="08D4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B26F0">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5D85963B">
            <w:pPr>
              <w:spacing w:line="440" w:lineRule="exact"/>
              <w:jc w:val="center"/>
              <w:rPr>
                <w:rFonts w:ascii="宋体" w:hAnsi="宋体"/>
                <w:color w:val="000000"/>
                <w:sz w:val="24"/>
                <w:szCs w:val="24"/>
                <w:highlight w:val="none"/>
              </w:rPr>
            </w:pPr>
          </w:p>
        </w:tc>
        <w:tc>
          <w:tcPr>
            <w:tcW w:w="1288" w:type="dxa"/>
          </w:tcPr>
          <w:p w14:paraId="00A2A5D4">
            <w:pPr>
              <w:spacing w:line="440" w:lineRule="exact"/>
              <w:jc w:val="center"/>
              <w:rPr>
                <w:rFonts w:ascii="宋体" w:hAnsi="宋体"/>
                <w:color w:val="000000"/>
                <w:sz w:val="24"/>
                <w:szCs w:val="24"/>
                <w:highlight w:val="none"/>
              </w:rPr>
            </w:pPr>
          </w:p>
        </w:tc>
        <w:tc>
          <w:tcPr>
            <w:tcW w:w="1288" w:type="dxa"/>
          </w:tcPr>
          <w:p w14:paraId="426DB36D">
            <w:pPr>
              <w:spacing w:line="440" w:lineRule="exact"/>
              <w:jc w:val="center"/>
              <w:rPr>
                <w:rFonts w:ascii="宋体" w:hAnsi="宋体"/>
                <w:color w:val="000000"/>
                <w:sz w:val="24"/>
                <w:szCs w:val="24"/>
                <w:highlight w:val="none"/>
              </w:rPr>
            </w:pPr>
          </w:p>
        </w:tc>
      </w:tr>
      <w:tr w14:paraId="5059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BC326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2000AA46">
            <w:pPr>
              <w:spacing w:line="440" w:lineRule="exact"/>
              <w:jc w:val="center"/>
              <w:rPr>
                <w:rFonts w:ascii="宋体" w:hAnsi="宋体"/>
                <w:color w:val="000000"/>
                <w:sz w:val="24"/>
                <w:szCs w:val="24"/>
                <w:highlight w:val="none"/>
              </w:rPr>
            </w:pPr>
          </w:p>
        </w:tc>
        <w:tc>
          <w:tcPr>
            <w:tcW w:w="1288" w:type="dxa"/>
          </w:tcPr>
          <w:p w14:paraId="546FF81A">
            <w:pPr>
              <w:spacing w:line="440" w:lineRule="exact"/>
              <w:jc w:val="center"/>
              <w:rPr>
                <w:rFonts w:ascii="宋体" w:hAnsi="宋体"/>
                <w:color w:val="000000"/>
                <w:sz w:val="24"/>
                <w:szCs w:val="24"/>
                <w:highlight w:val="none"/>
              </w:rPr>
            </w:pPr>
          </w:p>
        </w:tc>
        <w:tc>
          <w:tcPr>
            <w:tcW w:w="1288" w:type="dxa"/>
          </w:tcPr>
          <w:p w14:paraId="51A540AA">
            <w:pPr>
              <w:spacing w:line="440" w:lineRule="exact"/>
              <w:jc w:val="center"/>
              <w:rPr>
                <w:rFonts w:ascii="宋体" w:hAnsi="宋体"/>
                <w:color w:val="000000"/>
                <w:sz w:val="24"/>
                <w:szCs w:val="24"/>
                <w:highlight w:val="none"/>
              </w:rPr>
            </w:pPr>
          </w:p>
        </w:tc>
      </w:tr>
      <w:tr w14:paraId="6187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68E18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3A5FB98F">
            <w:pPr>
              <w:spacing w:line="440" w:lineRule="exact"/>
              <w:jc w:val="center"/>
              <w:rPr>
                <w:rFonts w:ascii="宋体" w:hAnsi="宋体"/>
                <w:color w:val="000000"/>
                <w:sz w:val="24"/>
                <w:szCs w:val="24"/>
                <w:highlight w:val="none"/>
              </w:rPr>
            </w:pPr>
          </w:p>
        </w:tc>
        <w:tc>
          <w:tcPr>
            <w:tcW w:w="1288" w:type="dxa"/>
          </w:tcPr>
          <w:p w14:paraId="07203EAC">
            <w:pPr>
              <w:spacing w:line="440" w:lineRule="exact"/>
              <w:jc w:val="center"/>
              <w:rPr>
                <w:rFonts w:ascii="宋体" w:hAnsi="宋体"/>
                <w:color w:val="000000"/>
                <w:sz w:val="24"/>
                <w:szCs w:val="24"/>
                <w:highlight w:val="none"/>
              </w:rPr>
            </w:pPr>
          </w:p>
        </w:tc>
        <w:tc>
          <w:tcPr>
            <w:tcW w:w="1288" w:type="dxa"/>
          </w:tcPr>
          <w:p w14:paraId="70ED70C0">
            <w:pPr>
              <w:spacing w:line="440" w:lineRule="exact"/>
              <w:jc w:val="center"/>
              <w:rPr>
                <w:rFonts w:ascii="宋体" w:hAnsi="宋体"/>
                <w:color w:val="000000"/>
                <w:sz w:val="24"/>
                <w:szCs w:val="24"/>
                <w:highlight w:val="none"/>
              </w:rPr>
            </w:pPr>
          </w:p>
        </w:tc>
      </w:tr>
      <w:tr w14:paraId="44C2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6503769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3BC15564">
            <w:pPr>
              <w:spacing w:line="440" w:lineRule="exact"/>
              <w:jc w:val="center"/>
              <w:rPr>
                <w:rFonts w:ascii="宋体" w:hAnsi="宋体"/>
                <w:color w:val="000000"/>
                <w:sz w:val="24"/>
                <w:szCs w:val="24"/>
                <w:highlight w:val="none"/>
              </w:rPr>
            </w:pPr>
          </w:p>
        </w:tc>
        <w:tc>
          <w:tcPr>
            <w:tcW w:w="1288" w:type="dxa"/>
          </w:tcPr>
          <w:p w14:paraId="4930E756">
            <w:pPr>
              <w:spacing w:line="440" w:lineRule="exact"/>
              <w:jc w:val="center"/>
              <w:rPr>
                <w:rFonts w:ascii="宋体" w:hAnsi="宋体"/>
                <w:color w:val="000000"/>
                <w:sz w:val="24"/>
                <w:szCs w:val="24"/>
                <w:highlight w:val="none"/>
              </w:rPr>
            </w:pPr>
          </w:p>
        </w:tc>
        <w:tc>
          <w:tcPr>
            <w:tcW w:w="1288" w:type="dxa"/>
          </w:tcPr>
          <w:p w14:paraId="227F869A">
            <w:pPr>
              <w:spacing w:line="440" w:lineRule="exact"/>
              <w:jc w:val="center"/>
              <w:rPr>
                <w:rFonts w:ascii="宋体" w:hAnsi="宋体"/>
                <w:color w:val="000000"/>
                <w:sz w:val="24"/>
                <w:szCs w:val="24"/>
                <w:highlight w:val="none"/>
              </w:rPr>
            </w:pPr>
          </w:p>
        </w:tc>
      </w:tr>
      <w:tr w14:paraId="7F74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9CAA7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0349FAC3">
            <w:pPr>
              <w:spacing w:line="440" w:lineRule="exact"/>
              <w:jc w:val="center"/>
              <w:rPr>
                <w:rFonts w:ascii="宋体" w:hAnsi="宋体"/>
                <w:color w:val="000000"/>
                <w:sz w:val="24"/>
                <w:szCs w:val="24"/>
                <w:highlight w:val="none"/>
              </w:rPr>
            </w:pPr>
          </w:p>
        </w:tc>
        <w:tc>
          <w:tcPr>
            <w:tcW w:w="1288" w:type="dxa"/>
          </w:tcPr>
          <w:p w14:paraId="34C5DC23">
            <w:pPr>
              <w:spacing w:line="440" w:lineRule="exact"/>
              <w:jc w:val="center"/>
              <w:rPr>
                <w:rFonts w:ascii="宋体" w:hAnsi="宋体"/>
                <w:color w:val="000000"/>
                <w:sz w:val="24"/>
                <w:szCs w:val="24"/>
                <w:highlight w:val="none"/>
              </w:rPr>
            </w:pPr>
          </w:p>
        </w:tc>
        <w:tc>
          <w:tcPr>
            <w:tcW w:w="1288" w:type="dxa"/>
          </w:tcPr>
          <w:p w14:paraId="6AB75564">
            <w:pPr>
              <w:spacing w:line="440" w:lineRule="exact"/>
              <w:jc w:val="center"/>
              <w:rPr>
                <w:rFonts w:ascii="宋体" w:hAnsi="宋体"/>
                <w:color w:val="000000"/>
                <w:sz w:val="24"/>
                <w:szCs w:val="24"/>
                <w:highlight w:val="none"/>
              </w:rPr>
            </w:pPr>
          </w:p>
        </w:tc>
      </w:tr>
    </w:tbl>
    <w:p w14:paraId="3A229F5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7AE443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41DC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AF2FEF">
      <w:pPr>
        <w:rPr>
          <w:rFonts w:ascii="宋体" w:hAnsi="Calibri" w:eastAsia="宋体" w:cs="宋体"/>
          <w:b/>
          <w:bCs/>
          <w:color w:val="000000"/>
          <w:sz w:val="28"/>
          <w:szCs w:val="20"/>
        </w:rPr>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14:paraId="729F3383">
      <w:pPr>
        <w:pStyle w:val="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B8D19D3">
      <w:pPr>
        <w:adjustRightInd w:val="0"/>
        <w:snapToGrid w:val="0"/>
        <w:jc w:val="left"/>
        <w:rPr>
          <w:rFonts w:ascii="宋体" w:hAnsi="宋体" w:eastAsia="宋体" w:cs="宋体"/>
          <w:sz w:val="24"/>
          <w:szCs w:val="24"/>
        </w:rPr>
      </w:pPr>
    </w:p>
    <w:p w14:paraId="119DA32B">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3E51F93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EA21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B9F8E0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180CE330">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7EA2599">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41499F03">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3C61AFE5">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32EDDB96">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33920DE">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53D0702C">
      <w:pPr>
        <w:numPr>
          <w:ilvl w:val="0"/>
          <w:numId w:val="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268825B6">
      <w:pPr>
        <w:pStyle w:val="6"/>
        <w:numPr>
          <w:ilvl w:val="0"/>
          <w:numId w:val="0"/>
        </w:numPr>
      </w:pPr>
    </w:p>
    <w:p w14:paraId="700701FD">
      <w:pPr>
        <w:rPr>
          <w:rFonts w:ascii="宋体" w:hAnsi="宋体" w:eastAsia="宋体" w:cs="宋体"/>
          <w:color w:val="000000"/>
        </w:rPr>
      </w:pPr>
    </w:p>
    <w:p w14:paraId="67BC3F52">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7BACEC00">
      <w:pPr>
        <w:pStyle w:val="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4" cstate="print"/>
                    <a:srcRect/>
                    <a:stretch>
                      <a:fillRect/>
                    </a:stretch>
                  </pic:blipFill>
                  <pic:spPr>
                    <a:xfrm>
                      <a:off x="0" y="0"/>
                      <a:ext cx="5760085" cy="2820035"/>
                    </a:xfrm>
                    <a:prstGeom prst="rect">
                      <a:avLst/>
                    </a:prstGeom>
                  </pic:spPr>
                </pic:pic>
              </a:graphicData>
            </a:graphic>
          </wp:inline>
        </w:drawing>
      </w:r>
    </w:p>
    <w:p w14:paraId="601E63D2">
      <w:pPr>
        <w:pStyle w:val="6"/>
      </w:pPr>
    </w:p>
    <w:p w14:paraId="13DA1BAA">
      <w:pPr>
        <w:pStyle w:val="6"/>
      </w:pPr>
    </w:p>
    <w:p w14:paraId="53CD4F28">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5989313">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6C16CC79">
      <w:pPr>
        <w:pStyle w:val="6"/>
        <w:rPr>
          <w:highlight w:val="none"/>
        </w:rPr>
      </w:pPr>
      <w:r>
        <w:rPr>
          <w:rFonts w:hint="eastAsia" w:hAnsi="宋体" w:eastAsia="宋体" w:cs="宋体"/>
          <w:b/>
          <w:bCs/>
          <w:color w:val="000000"/>
          <w:sz w:val="24"/>
          <w:szCs w:val="28"/>
          <w:highlight w:val="none"/>
        </w:rPr>
        <w:t>2.配套能力“供货类别”填“直管单位非生产招标 / 服务 / 安全消防”，业务主管部门选择“安全环保部”。</w:t>
      </w:r>
    </w:p>
    <w:p w14:paraId="703E3FC7">
      <w:pPr>
        <w:pStyle w:val="6"/>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p>
    <w:p w14:paraId="54BA80A3">
      <w:pPr>
        <w:pStyle w:val="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5323DA0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eastAsia="宋体" w:cs="宋体"/>
          <w:sz w:val="24"/>
          <w:szCs w:val="24"/>
        </w:rPr>
        <w:t>http</w:t>
      </w:r>
      <w:r>
        <w:rPr>
          <w:rStyle w:val="16"/>
          <w:rFonts w:hint="eastAsia" w:ascii="宋体" w:hAnsi="宋体" w:eastAsia="宋体" w:cs="宋体"/>
          <w:sz w:val="24"/>
          <w:szCs w:val="24"/>
          <w:lang w:val="en-US" w:eastAsia="zh-CN"/>
        </w:rPr>
        <w:t>s</w:t>
      </w:r>
      <w:r>
        <w:rPr>
          <w:rStyle w:val="16"/>
          <w:rFonts w:hint="eastAsia" w:ascii="宋体" w:hAnsi="宋体" w:eastAsia="宋体" w:cs="宋体"/>
          <w:sz w:val="24"/>
          <w:szCs w:val="24"/>
        </w:rPr>
        <w:t>://ecaitong.sinotruk.com:8012/</w:t>
      </w:r>
      <w:r>
        <w:rPr>
          <w:rStyle w:val="16"/>
          <w:rFonts w:hint="eastAsia" w:ascii="宋体" w:hAnsi="宋体" w:eastAsia="宋体" w:cs="宋体"/>
          <w:sz w:val="24"/>
          <w:szCs w:val="24"/>
        </w:rPr>
        <w:fldChar w:fldCharType="end"/>
      </w:r>
    </w:p>
    <w:p w14:paraId="3FF4ED9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5B29CD5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1B53835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B10FF4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84BD50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D057AB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0AE60629"/>
    <w:p w14:paraId="0FBC17D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A028C0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D1690CC">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64A171F8">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D137C24">
      <w:pPr>
        <w:pStyle w:val="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6D89FCAA">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1798F7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A39138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BE5778F">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6E8ED1">
      <w:pPr>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cs="宋体"/>
          <w:color w:val="000000"/>
          <w:sz w:val="24"/>
          <w:szCs w:val="24"/>
          <w:lang w:eastAsia="zh-CN"/>
        </w:rPr>
        <w:t>。</w:t>
      </w:r>
    </w:p>
    <w:p w14:paraId="75EEE079">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4BE0421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1BE138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097C0E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67A546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7789BE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C1C47A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90B242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61EC351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8D3248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F93640D">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7AF70015">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5456A993">
      <w:pPr>
        <w:pStyle w:val="6"/>
        <w:rPr>
          <w:rFonts w:hAnsi="宋体" w:eastAsia="宋体" w:cs="Times New Roman"/>
          <w:b/>
          <w:color w:val="000000"/>
          <w:sz w:val="24"/>
          <w:szCs w:val="24"/>
        </w:rPr>
      </w:pPr>
    </w:p>
    <w:p w14:paraId="428D0957">
      <w:pPr>
        <w:pStyle w:val="6"/>
        <w:rPr>
          <w:rFonts w:hAnsi="宋体" w:eastAsia="宋体" w:cs="Times New Roman"/>
          <w:b/>
          <w:color w:val="000000"/>
          <w:sz w:val="24"/>
          <w:szCs w:val="24"/>
        </w:rPr>
      </w:pPr>
    </w:p>
    <w:p w14:paraId="66308F9E">
      <w:pPr>
        <w:pStyle w:val="19"/>
        <w:rPr>
          <w:rFonts w:hint="default" w:hAnsi="宋体"/>
          <w:sz w:val="24"/>
          <w:lang w:val="en-US"/>
        </w:rPr>
      </w:pPr>
    </w:p>
    <w:p w14:paraId="321D2F29">
      <w:pPr>
        <w:pStyle w:val="2"/>
      </w:pPr>
    </w:p>
    <w:sectPr>
      <w:footerReference r:id="rId17" w:type="first"/>
      <w:headerReference r:id="rId14" w:type="default"/>
      <w:footerReference r:id="rId15" w:type="default"/>
      <w:footerReference r:id="rId16"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7"/>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AC55">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14739">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6B14739">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88276">
    <w:pPr>
      <w:pStyle w:val="7"/>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897E2F">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4897E2F">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19010">
    <w:pPr>
      <w:pStyle w:val="7"/>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157D2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3F157D2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ACFC4">
    <w:pPr>
      <w:pStyle w:val="7"/>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842BFF5">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1842BFF5">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0F72C">
    <w:pPr>
      <w:pStyle w:val="7"/>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14ABD5D">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114ABD5D">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3F8B">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8648B2E">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58648B2E">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9A048">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5315B8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65315B8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7A7A">
    <w:pPr>
      <w:pStyle w:val="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91145">
                          <w:pPr>
                            <w:pStyle w:val="7"/>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BA91145">
                    <w:pPr>
                      <w:pStyle w:val="7"/>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BE0">
    <w:pPr>
      <w:pStyle w:val="7"/>
      <w:framePr w:wrap="around" w:vAnchor="text" w:hAnchor="margin" w:xAlign="center" w:y="1"/>
      <w:rPr>
        <w:rStyle w:val="15"/>
      </w:rPr>
    </w:pPr>
    <w:r>
      <w:fldChar w:fldCharType="begin"/>
    </w:r>
    <w:r>
      <w:rPr>
        <w:rStyle w:val="15"/>
      </w:rPr>
      <w:instrText xml:space="preserve">PAGE  </w:instrText>
    </w:r>
    <w:r>
      <w:fldChar w:fldCharType="end"/>
    </w:r>
  </w:p>
  <w:p w14:paraId="5EBBDC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8"/>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C7EFD">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56626">
    <w:pPr>
      <w:pStyle w:val="8"/>
    </w:pPr>
  </w:p>
  <w:p w14:paraId="55A31FB5">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A43DC">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17E6">
    <w:pPr>
      <w:pStyle w:val="8"/>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E9DDACA4"/>
    <w:multiLevelType w:val="singleLevel"/>
    <w:tmpl w:val="E9DDACA4"/>
    <w:lvl w:ilvl="0" w:tentative="0">
      <w:start w:val="3"/>
      <w:numFmt w:val="decimal"/>
      <w:lvlText w:val="%1."/>
      <w:lvlJc w:val="left"/>
      <w:pPr>
        <w:tabs>
          <w:tab w:val="left" w:pos="312"/>
        </w:tabs>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7077A8C"/>
    <w:multiLevelType w:val="singleLevel"/>
    <w:tmpl w:val="07077A8C"/>
    <w:lvl w:ilvl="0" w:tentative="0">
      <w:start w:val="1"/>
      <w:numFmt w:val="decimal"/>
      <w:suff w:val="nothing"/>
      <w:lvlText w:val="（%1）"/>
      <w:lvlJc w:val="left"/>
    </w:lvl>
  </w:abstractNum>
  <w:abstractNum w:abstractNumId="5">
    <w:nsid w:val="656A6EAE"/>
    <w:multiLevelType w:val="multilevel"/>
    <w:tmpl w:val="656A6EAE"/>
    <w:lvl w:ilvl="0" w:tentative="0">
      <w:start w:val="1"/>
      <w:numFmt w:val="chineseCountingThousand"/>
      <w:pStyle w:val="1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70EB3FAA"/>
    <w:multiLevelType w:val="singleLevel"/>
    <w:tmpl w:val="70EB3FAA"/>
    <w:lvl w:ilvl="0" w:tentative="0">
      <w:start w:val="1"/>
      <w:numFmt w:val="decimal"/>
      <w:lvlText w:val="%1."/>
      <w:lvlJc w:val="left"/>
      <w:pPr>
        <w:ind w:left="425" w:hanging="425"/>
      </w:pPr>
      <w:rPr>
        <w:rFonts w:hint="default"/>
      </w:rPr>
    </w:lvl>
  </w:abstractNum>
  <w:abstractNum w:abstractNumId="7">
    <w:nsid w:val="7F459B9C"/>
    <w:multiLevelType w:val="singleLevel"/>
    <w:tmpl w:val="7F459B9C"/>
    <w:lvl w:ilvl="0" w:tentative="0">
      <w:start w:val="1"/>
      <w:numFmt w:val="decimal"/>
      <w:suff w:val="nothing"/>
      <w:lvlText w:val="%1"/>
      <w:lvlJc w:val="left"/>
      <w:pPr>
        <w:tabs>
          <w:tab w:val="left" w:pos="420"/>
        </w:tabs>
        <w:ind w:left="425" w:hanging="425"/>
      </w:pPr>
      <w:rPr>
        <w:rFonts w:hint="default"/>
      </w:rPr>
    </w:lvl>
  </w:abstractNum>
  <w:num w:numId="1">
    <w:abstractNumId w:val="5"/>
  </w:num>
  <w:num w:numId="2">
    <w:abstractNumId w:val="6"/>
  </w:num>
  <w:num w:numId="3">
    <w:abstractNumId w:val="1"/>
  </w:num>
  <w:num w:numId="4">
    <w:abstractNumId w:val="2"/>
  </w:num>
  <w:num w:numId="5">
    <w:abstractNumId w:val="0"/>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40645B1"/>
    <w:rsid w:val="04275653"/>
    <w:rsid w:val="0462668B"/>
    <w:rsid w:val="05720B50"/>
    <w:rsid w:val="05850883"/>
    <w:rsid w:val="05FE0636"/>
    <w:rsid w:val="0754675F"/>
    <w:rsid w:val="07660241"/>
    <w:rsid w:val="07AB0349"/>
    <w:rsid w:val="09727371"/>
    <w:rsid w:val="09AE43B9"/>
    <w:rsid w:val="0A256191"/>
    <w:rsid w:val="0A434869"/>
    <w:rsid w:val="0BC33EB3"/>
    <w:rsid w:val="0BF347E8"/>
    <w:rsid w:val="0CC021A1"/>
    <w:rsid w:val="0D083FB4"/>
    <w:rsid w:val="0D5A377C"/>
    <w:rsid w:val="0DCF4A41"/>
    <w:rsid w:val="0EE7610B"/>
    <w:rsid w:val="0EFE3455"/>
    <w:rsid w:val="0F010326"/>
    <w:rsid w:val="0F946D68"/>
    <w:rsid w:val="0FB104C7"/>
    <w:rsid w:val="103F3D25"/>
    <w:rsid w:val="10991687"/>
    <w:rsid w:val="11286567"/>
    <w:rsid w:val="1147185D"/>
    <w:rsid w:val="115B2DE0"/>
    <w:rsid w:val="118B27F3"/>
    <w:rsid w:val="119A3908"/>
    <w:rsid w:val="121E1ADF"/>
    <w:rsid w:val="125515DD"/>
    <w:rsid w:val="12C276B1"/>
    <w:rsid w:val="12DD37BE"/>
    <w:rsid w:val="136E6A2E"/>
    <w:rsid w:val="139D4FEA"/>
    <w:rsid w:val="1517661E"/>
    <w:rsid w:val="15657D89"/>
    <w:rsid w:val="16C44F84"/>
    <w:rsid w:val="16D76A65"/>
    <w:rsid w:val="16EA2C3C"/>
    <w:rsid w:val="17032A46"/>
    <w:rsid w:val="17726840"/>
    <w:rsid w:val="17BA0860"/>
    <w:rsid w:val="193A152D"/>
    <w:rsid w:val="19444B5F"/>
    <w:rsid w:val="19722A75"/>
    <w:rsid w:val="19CE23A1"/>
    <w:rsid w:val="1A134258"/>
    <w:rsid w:val="1CAA49F8"/>
    <w:rsid w:val="1CBE2546"/>
    <w:rsid w:val="1D623FD6"/>
    <w:rsid w:val="1E1E766F"/>
    <w:rsid w:val="1F8A033E"/>
    <w:rsid w:val="1F9625E7"/>
    <w:rsid w:val="20664F99"/>
    <w:rsid w:val="20801F1B"/>
    <w:rsid w:val="215B7B93"/>
    <w:rsid w:val="21B93937"/>
    <w:rsid w:val="220D5A31"/>
    <w:rsid w:val="22160D89"/>
    <w:rsid w:val="23244DE0"/>
    <w:rsid w:val="235B27CC"/>
    <w:rsid w:val="23714228"/>
    <w:rsid w:val="23CB7951"/>
    <w:rsid w:val="23E9442E"/>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DA6E57"/>
    <w:rsid w:val="2D236108"/>
    <w:rsid w:val="2D50441C"/>
    <w:rsid w:val="2D962D7E"/>
    <w:rsid w:val="2E026666"/>
    <w:rsid w:val="2F61560E"/>
    <w:rsid w:val="2FF47BED"/>
    <w:rsid w:val="308E2433"/>
    <w:rsid w:val="30F027A5"/>
    <w:rsid w:val="31DD5420"/>
    <w:rsid w:val="32BA306B"/>
    <w:rsid w:val="341E587B"/>
    <w:rsid w:val="34E73EBF"/>
    <w:rsid w:val="35E0728C"/>
    <w:rsid w:val="36B67FED"/>
    <w:rsid w:val="370451FC"/>
    <w:rsid w:val="373A29CC"/>
    <w:rsid w:val="382A0C93"/>
    <w:rsid w:val="38523D46"/>
    <w:rsid w:val="387651EF"/>
    <w:rsid w:val="39A20CFD"/>
    <w:rsid w:val="39A71E6F"/>
    <w:rsid w:val="3A033549"/>
    <w:rsid w:val="3A4E4604"/>
    <w:rsid w:val="3AEA4709"/>
    <w:rsid w:val="3B365BA1"/>
    <w:rsid w:val="3B4756B8"/>
    <w:rsid w:val="3BC1546A"/>
    <w:rsid w:val="3C4D6CFE"/>
    <w:rsid w:val="3CCF1E09"/>
    <w:rsid w:val="3D8B21D4"/>
    <w:rsid w:val="3EA44022"/>
    <w:rsid w:val="3F144495"/>
    <w:rsid w:val="3F760C61"/>
    <w:rsid w:val="3F863274"/>
    <w:rsid w:val="3FE61943"/>
    <w:rsid w:val="3FF322B2"/>
    <w:rsid w:val="40EC18A8"/>
    <w:rsid w:val="414D154E"/>
    <w:rsid w:val="41656898"/>
    <w:rsid w:val="41962EF5"/>
    <w:rsid w:val="41AC44C7"/>
    <w:rsid w:val="42141C1A"/>
    <w:rsid w:val="423A5F76"/>
    <w:rsid w:val="42D54FED"/>
    <w:rsid w:val="434B5F61"/>
    <w:rsid w:val="439416B6"/>
    <w:rsid w:val="43F54DA9"/>
    <w:rsid w:val="44A27E03"/>
    <w:rsid w:val="455138A3"/>
    <w:rsid w:val="45A35BE1"/>
    <w:rsid w:val="45CD0EAF"/>
    <w:rsid w:val="47BC567F"/>
    <w:rsid w:val="49CA5E32"/>
    <w:rsid w:val="4C325F10"/>
    <w:rsid w:val="4C432784"/>
    <w:rsid w:val="4CDA761C"/>
    <w:rsid w:val="4D6F029E"/>
    <w:rsid w:val="4D996326"/>
    <w:rsid w:val="4DCE7A77"/>
    <w:rsid w:val="4E832A53"/>
    <w:rsid w:val="4F732AC8"/>
    <w:rsid w:val="4FC926E8"/>
    <w:rsid w:val="50367907"/>
    <w:rsid w:val="507029B3"/>
    <w:rsid w:val="50A72271"/>
    <w:rsid w:val="512A365A"/>
    <w:rsid w:val="51300A07"/>
    <w:rsid w:val="517C731C"/>
    <w:rsid w:val="52A66D10"/>
    <w:rsid w:val="52EA12F3"/>
    <w:rsid w:val="53226CDE"/>
    <w:rsid w:val="53277100"/>
    <w:rsid w:val="53934391"/>
    <w:rsid w:val="5435659E"/>
    <w:rsid w:val="54B35E4E"/>
    <w:rsid w:val="5663112E"/>
    <w:rsid w:val="569021B1"/>
    <w:rsid w:val="575E405D"/>
    <w:rsid w:val="57B65C47"/>
    <w:rsid w:val="57B8376D"/>
    <w:rsid w:val="57D936E4"/>
    <w:rsid w:val="57EF1159"/>
    <w:rsid w:val="59280444"/>
    <w:rsid w:val="5BDF6DA3"/>
    <w:rsid w:val="5CDF79EE"/>
    <w:rsid w:val="5D465377"/>
    <w:rsid w:val="5D4E06D0"/>
    <w:rsid w:val="5D973E25"/>
    <w:rsid w:val="5DC50992"/>
    <w:rsid w:val="5DD159D8"/>
    <w:rsid w:val="5DDE1A77"/>
    <w:rsid w:val="5E2F405E"/>
    <w:rsid w:val="5E3873B6"/>
    <w:rsid w:val="5EA031AD"/>
    <w:rsid w:val="60EE1FAE"/>
    <w:rsid w:val="611A2DA3"/>
    <w:rsid w:val="616B0B5C"/>
    <w:rsid w:val="619568CD"/>
    <w:rsid w:val="61EA1238"/>
    <w:rsid w:val="62051CA5"/>
    <w:rsid w:val="621C2B4B"/>
    <w:rsid w:val="63293771"/>
    <w:rsid w:val="63343EC4"/>
    <w:rsid w:val="63B41E9C"/>
    <w:rsid w:val="63C70946"/>
    <w:rsid w:val="646F3406"/>
    <w:rsid w:val="64BA4740"/>
    <w:rsid w:val="64E01C52"/>
    <w:rsid w:val="654E019A"/>
    <w:rsid w:val="654F3237"/>
    <w:rsid w:val="658F7EFB"/>
    <w:rsid w:val="65CE4EFC"/>
    <w:rsid w:val="661F2C0A"/>
    <w:rsid w:val="66650F64"/>
    <w:rsid w:val="666D1BC7"/>
    <w:rsid w:val="67874F0A"/>
    <w:rsid w:val="683F57E5"/>
    <w:rsid w:val="6874548F"/>
    <w:rsid w:val="68993147"/>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53042"/>
    <w:rsid w:val="73DE4104"/>
    <w:rsid w:val="73F77193"/>
    <w:rsid w:val="73FD2E3F"/>
    <w:rsid w:val="7416564C"/>
    <w:rsid w:val="745B39A7"/>
    <w:rsid w:val="7476258E"/>
    <w:rsid w:val="74CC6652"/>
    <w:rsid w:val="74F945A2"/>
    <w:rsid w:val="75AC3A76"/>
    <w:rsid w:val="75E654F2"/>
    <w:rsid w:val="761B163F"/>
    <w:rsid w:val="76515061"/>
    <w:rsid w:val="770E0474"/>
    <w:rsid w:val="77437B39"/>
    <w:rsid w:val="77EB3293"/>
    <w:rsid w:val="78063C29"/>
    <w:rsid w:val="797E7695"/>
    <w:rsid w:val="7A6B246A"/>
    <w:rsid w:val="7B7B048A"/>
    <w:rsid w:val="7B8A691F"/>
    <w:rsid w:val="7C215870"/>
    <w:rsid w:val="7D0F17D2"/>
    <w:rsid w:val="7D507164"/>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semiHidden/>
    <w:qFormat/>
    <w:uiPriority w:val="0"/>
    <w:pPr>
      <w:keepNext/>
      <w:keepLines/>
      <w:spacing w:line="416" w:lineRule="auto"/>
      <w:outlineLvl w:val="2"/>
    </w:pPr>
    <w:rPr>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sz w:val="32"/>
    </w:rPr>
  </w:style>
  <w:style w:type="paragraph" w:customStyle="1" w:styleId="5">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Plain Text"/>
    <w:basedOn w:val="1"/>
    <w:qFormat/>
    <w:uiPriority w:val="0"/>
    <w:rPr>
      <w:rFonts w:ascii="宋体" w:hAnsi="Courier New"/>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0">
    <w:name w:val="List"/>
    <w:basedOn w:val="1"/>
    <w:qFormat/>
    <w:uiPriority w:val="0"/>
    <w:pPr>
      <w:ind w:left="200" w:hanging="200" w:hangingChars="200"/>
    </w:pPr>
  </w:style>
  <w:style w:type="paragraph" w:styleId="11">
    <w:name w:val="Normal (Web)"/>
    <w:basedOn w:val="1"/>
    <w:qFormat/>
    <w:uiPriority w:val="0"/>
    <w:rPr>
      <w:sz w:val="24"/>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basedOn w:val="14"/>
    <w:semiHidden/>
    <w:qFormat/>
    <w:uiPriority w:val="99"/>
    <w:rPr>
      <w:rFonts w:cs="Times New Roman"/>
      <w:color w:val="1F4F88"/>
      <w:u w:val="none"/>
    </w:rPr>
  </w:style>
  <w:style w:type="paragraph" w:styleId="17">
    <w:name w:val="List Paragraph"/>
    <w:basedOn w:val="1"/>
    <w:qFormat/>
    <w:uiPriority w:val="99"/>
    <w:pPr>
      <w:ind w:firstLine="420" w:firstLineChars="200"/>
    </w:pPr>
  </w:style>
  <w:style w:type="paragraph" w:customStyle="1" w:styleId="18">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19">
    <w:name w:val="标书正文"/>
    <w:basedOn w:val="6"/>
    <w:qFormat/>
    <w:uiPriority w:val="9"/>
    <w:pPr>
      <w:spacing w:line="360" w:lineRule="auto"/>
      <w:jc w:val="left"/>
    </w:pPr>
  </w:style>
  <w:style w:type="paragraph" w:customStyle="1" w:styleId="20">
    <w:name w:val="标书正文格式"/>
    <w:basedOn w:val="6"/>
    <w:qFormat/>
    <w:uiPriority w:val="0"/>
    <w:pPr>
      <w:spacing w:line="360" w:lineRule="auto"/>
      <w:ind w:firstLine="200" w:firstLineChars="200"/>
    </w:pPr>
    <w:rPr>
      <w:rFonts w:hAnsi="宋体" w:eastAsiaTheme="minorEastAsia"/>
      <w:color w:val="000000"/>
      <w:sz w:val="24"/>
      <w:szCs w:val="24"/>
    </w:rPr>
  </w:style>
  <w:style w:type="paragraph" w:customStyle="1" w:styleId="21">
    <w:name w:val="Table Paragraph"/>
    <w:basedOn w:val="1"/>
    <w:autoRedefine/>
    <w:qFormat/>
    <w:uiPriority w:val="1"/>
    <w:rPr>
      <w:rFonts w:ascii="宋体" w:hAnsi="宋体" w:eastAsia="宋体" w:cs="宋体"/>
    </w:rPr>
  </w:style>
  <w:style w:type="table" w:customStyle="1" w:styleId="22">
    <w:name w:val="Table Normal"/>
    <w:autoRedefine/>
    <w:qFormat/>
    <w:uiPriority w:val="0"/>
    <w:tblPr>
      <w:tblCellMar>
        <w:top w:w="0" w:type="dxa"/>
        <w:left w:w="0" w:type="dxa"/>
        <w:bottom w:w="0" w:type="dxa"/>
        <w:right w:w="0" w:type="dxa"/>
      </w:tblCellMar>
    </w:tblPr>
  </w:style>
  <w:style w:type="paragraph" w:customStyle="1" w:styleId="23">
    <w:name w:val="null22"/>
    <w:qFormat/>
    <w:uiPriority w:val="0"/>
    <w:rPr>
      <w:rFonts w:ascii="Times New Roman" w:hAnsi="Times New Roman" w:eastAsia="宋体" w:cs="Times New Roman"/>
      <w:szCs w:val="21"/>
      <w:lang w:val="en-US" w:eastAsia="zh-CN" w:bidi="ar-SA"/>
    </w:rPr>
  </w:style>
  <w:style w:type="paragraph" w:customStyle="1" w:styleId="24">
    <w:name w:val="null23"/>
    <w:qFormat/>
    <w:uiPriority w:val="0"/>
    <w:rPr>
      <w:rFonts w:ascii="Times New Roman" w:hAnsi="Times New Roman" w:eastAsia="宋体" w:cs="Times New Roman"/>
      <w:szCs w:val="21"/>
      <w:lang w:val="en-US" w:eastAsia="zh-CN" w:bidi="ar-SA"/>
    </w:rPr>
  </w:style>
  <w:style w:type="paragraph" w:customStyle="1" w:styleId="25">
    <w:name w:val="null24"/>
    <w:qFormat/>
    <w:uiPriority w:val="0"/>
    <w:rPr>
      <w:rFonts w:ascii="Times New Roman" w:hAnsi="Times New Roman" w:eastAsia="宋体" w:cs="Times New Roman"/>
      <w:szCs w:val="21"/>
      <w:lang w:val="en-US" w:eastAsia="zh-CN" w:bidi="ar-SA"/>
    </w:rPr>
  </w:style>
  <w:style w:type="paragraph" w:customStyle="1" w:styleId="26">
    <w:name w:val="null25"/>
    <w:qFormat/>
    <w:uiPriority w:val="0"/>
    <w:rPr>
      <w:rFonts w:ascii="Times New Roman" w:hAnsi="Times New Roman" w:eastAsia="宋体" w:cs="Times New Roman"/>
      <w:szCs w:val="21"/>
      <w:lang w:val="en-US" w:eastAsia="zh-CN" w:bidi="ar-SA"/>
    </w:rPr>
  </w:style>
  <w:style w:type="paragraph" w:customStyle="1" w:styleId="27">
    <w:name w:val="null26"/>
    <w:qFormat/>
    <w:uiPriority w:val="0"/>
    <w:rPr>
      <w:rFonts w:ascii="Times New Roman" w:hAnsi="Times New Roman" w:eastAsia="宋体" w:cs="Times New Roman"/>
      <w:szCs w:val="21"/>
      <w:lang w:val="en-US" w:eastAsia="zh-CN" w:bidi="ar-SA"/>
    </w:rPr>
  </w:style>
  <w:style w:type="paragraph" w:customStyle="1" w:styleId="28">
    <w:name w:val="null27"/>
    <w:qFormat/>
    <w:uiPriority w:val="0"/>
    <w:rPr>
      <w:rFonts w:ascii="Times New Roman" w:hAnsi="Times New Roman" w:eastAsia="宋体" w:cs="Times New Roman"/>
      <w:szCs w:val="21"/>
      <w:lang w:val="en-US" w:eastAsia="zh-CN" w:bidi="ar-SA"/>
    </w:rPr>
  </w:style>
  <w:style w:type="paragraph" w:customStyle="1" w:styleId="29">
    <w:name w:val="null28"/>
    <w:qFormat/>
    <w:uiPriority w:val="0"/>
    <w:rPr>
      <w:rFonts w:ascii="Times New Roman" w:hAnsi="Times New Roman" w:eastAsia="宋体" w:cs="Times New Roman"/>
      <w:szCs w:val="21"/>
      <w:lang w:val="en-US" w:eastAsia="zh-CN" w:bidi="ar-SA"/>
    </w:rPr>
  </w:style>
  <w:style w:type="paragraph" w:customStyle="1" w:styleId="30">
    <w:name w:val="null29"/>
    <w:qFormat/>
    <w:uiPriority w:val="0"/>
    <w:rPr>
      <w:rFonts w:ascii="Times New Roman" w:hAnsi="Times New Roman" w:eastAsia="宋体" w:cs="Times New Roman"/>
      <w:szCs w:val="21"/>
      <w:lang w:val="en-US" w:eastAsia="zh-CN" w:bidi="ar-SA"/>
    </w:rPr>
  </w:style>
  <w:style w:type="paragraph" w:customStyle="1" w:styleId="31">
    <w:name w:val="null30"/>
    <w:qFormat/>
    <w:uiPriority w:val="0"/>
    <w:rPr>
      <w:rFonts w:ascii="Times New Roman" w:hAnsi="Times New Roman" w:eastAsia="宋体" w:cs="Times New Roman"/>
      <w:szCs w:val="21"/>
      <w:lang w:val="en-US" w:eastAsia="zh-CN" w:bidi="ar-SA"/>
    </w:rPr>
  </w:style>
  <w:style w:type="paragraph" w:customStyle="1" w:styleId="32">
    <w:name w:val="null31"/>
    <w:qFormat/>
    <w:uiPriority w:val="0"/>
    <w:rPr>
      <w:rFonts w:ascii="Times New Roman" w:hAnsi="Times New Roman" w:eastAsia="宋体" w:cs="Times New Roman"/>
      <w:szCs w:val="21"/>
      <w:lang w:val="en-US" w:eastAsia="zh-CN" w:bidi="ar-SA"/>
    </w:rPr>
  </w:style>
  <w:style w:type="paragraph" w:customStyle="1" w:styleId="33">
    <w:name w:val="null32"/>
    <w:qFormat/>
    <w:uiPriority w:val="0"/>
    <w:rPr>
      <w:rFonts w:ascii="Times New Roman" w:hAnsi="Times New Roman" w:eastAsia="宋体" w:cs="Times New Roman"/>
      <w:szCs w:val="21"/>
      <w:lang w:val="en-US" w:eastAsia="zh-CN" w:bidi="ar-SA"/>
    </w:rPr>
  </w:style>
  <w:style w:type="paragraph" w:customStyle="1" w:styleId="34">
    <w:name w:val="null33"/>
    <w:qFormat/>
    <w:uiPriority w:val="0"/>
    <w:rPr>
      <w:rFonts w:ascii="Times New Roman" w:hAnsi="Times New Roman" w:eastAsia="宋体" w:cs="Times New Roman"/>
      <w:szCs w:val="21"/>
      <w:lang w:val="en-US" w:eastAsia="zh-CN" w:bidi="ar-SA"/>
    </w:rPr>
  </w:style>
  <w:style w:type="paragraph" w:customStyle="1" w:styleId="35">
    <w:name w:val="null34"/>
    <w:qFormat/>
    <w:uiPriority w:val="0"/>
    <w:rPr>
      <w:rFonts w:ascii="Times New Roman" w:hAnsi="Times New Roman" w:eastAsia="宋体" w:cs="Times New Roman"/>
      <w:szCs w:val="21"/>
      <w:lang w:val="en-US" w:eastAsia="zh-CN" w:bidi="ar-SA"/>
    </w:rPr>
  </w:style>
  <w:style w:type="paragraph" w:customStyle="1" w:styleId="36">
    <w:name w:val="null35"/>
    <w:qFormat/>
    <w:uiPriority w:val="0"/>
    <w:rPr>
      <w:rFonts w:ascii="Times New Roman" w:hAnsi="Times New Roman" w:eastAsia="宋体" w:cs="Times New Roman"/>
      <w:szCs w:val="21"/>
      <w:lang w:val="en-US" w:eastAsia="zh-CN" w:bidi="ar-SA"/>
    </w:rPr>
  </w:style>
  <w:style w:type="paragraph" w:customStyle="1" w:styleId="37">
    <w:name w:val="null36"/>
    <w:qFormat/>
    <w:uiPriority w:val="0"/>
    <w:rPr>
      <w:rFonts w:ascii="Times New Roman" w:hAnsi="Times New Roman" w:eastAsia="宋体" w:cs="Times New Roman"/>
      <w:szCs w:val="21"/>
      <w:lang w:val="en-US" w:eastAsia="zh-CN" w:bidi="ar-SA"/>
    </w:rPr>
  </w:style>
  <w:style w:type="paragraph" w:customStyle="1" w:styleId="38">
    <w:name w:val="null37"/>
    <w:qFormat/>
    <w:uiPriority w:val="0"/>
    <w:rPr>
      <w:rFonts w:ascii="Times New Roman" w:hAnsi="Times New Roman" w:eastAsia="宋体" w:cs="Times New Roman"/>
      <w:szCs w:val="21"/>
      <w:lang w:val="en-US" w:eastAsia="zh-CN" w:bidi="ar-SA"/>
    </w:rPr>
  </w:style>
  <w:style w:type="paragraph" w:customStyle="1" w:styleId="39">
    <w:name w:val="null38"/>
    <w:qFormat/>
    <w:uiPriority w:val="0"/>
    <w:rPr>
      <w:rFonts w:ascii="Times New Roman" w:hAnsi="Times New Roman" w:eastAsia="宋体" w:cs="Times New Roman"/>
      <w:szCs w:val="21"/>
      <w:lang w:val="en-US" w:eastAsia="zh-CN" w:bidi="ar-SA"/>
    </w:rPr>
  </w:style>
  <w:style w:type="paragraph" w:customStyle="1" w:styleId="40">
    <w:name w:val="null39"/>
    <w:qFormat/>
    <w:uiPriority w:val="0"/>
    <w:rPr>
      <w:rFonts w:ascii="Times New Roman" w:hAnsi="Times New Roman" w:eastAsia="宋体" w:cs="Times New Roman"/>
      <w:szCs w:val="21"/>
      <w:lang w:val="en-US" w:eastAsia="zh-CN" w:bidi="ar-SA"/>
    </w:rPr>
  </w:style>
  <w:style w:type="paragraph" w:customStyle="1" w:styleId="41">
    <w:name w:val="null40"/>
    <w:qFormat/>
    <w:uiPriority w:val="0"/>
    <w:rPr>
      <w:rFonts w:ascii="Times New Roman" w:hAnsi="Times New Roman" w:eastAsia="宋体" w:cs="Times New Roman"/>
      <w:szCs w:val="21"/>
      <w:lang w:val="en-US" w:eastAsia="zh-CN" w:bidi="ar-SA"/>
    </w:rPr>
  </w:style>
  <w:style w:type="paragraph" w:customStyle="1" w:styleId="42">
    <w:name w:val="null41"/>
    <w:qFormat/>
    <w:uiPriority w:val="0"/>
    <w:rPr>
      <w:rFonts w:ascii="Times New Roman" w:hAnsi="Times New Roman" w:eastAsia="宋体" w:cs="Times New Roman"/>
      <w:szCs w:val="21"/>
      <w:lang w:val="en-US" w:eastAsia="zh-CN" w:bidi="ar-SA"/>
    </w:rPr>
  </w:style>
  <w:style w:type="paragraph" w:customStyle="1" w:styleId="43">
    <w:name w:val="null42"/>
    <w:qFormat/>
    <w:uiPriority w:val="0"/>
    <w:rPr>
      <w:rFonts w:ascii="Times New Roman" w:hAnsi="Times New Roman" w:eastAsia="宋体" w:cs="Times New Roman"/>
      <w:szCs w:val="21"/>
      <w:lang w:val="en-US" w:eastAsia="zh-CN" w:bidi="ar-SA"/>
    </w:rPr>
  </w:style>
  <w:style w:type="paragraph" w:customStyle="1" w:styleId="44">
    <w:name w:val="null43"/>
    <w:qFormat/>
    <w:uiPriority w:val="0"/>
    <w:rPr>
      <w:rFonts w:ascii="Times New Roman" w:hAnsi="Times New Roman" w:eastAsia="宋体" w:cs="Times New Roman"/>
      <w:szCs w:val="21"/>
      <w:lang w:val="en-US" w:eastAsia="zh-CN" w:bidi="ar-SA"/>
    </w:rPr>
  </w:style>
  <w:style w:type="paragraph" w:customStyle="1" w:styleId="45">
    <w:name w:val="null44"/>
    <w:qFormat/>
    <w:uiPriority w:val="0"/>
    <w:rPr>
      <w:rFonts w:ascii="Times New Roman" w:hAnsi="Times New Roman" w:eastAsia="宋体" w:cs="Times New Roman"/>
      <w:szCs w:val="21"/>
      <w:lang w:val="en-US" w:eastAsia="zh-CN" w:bidi="ar-SA"/>
    </w:rPr>
  </w:style>
  <w:style w:type="paragraph" w:customStyle="1" w:styleId="46">
    <w:name w:val="null45"/>
    <w:qFormat/>
    <w:uiPriority w:val="0"/>
    <w:rPr>
      <w:rFonts w:ascii="Times New Roman" w:hAnsi="Times New Roman" w:eastAsia="宋体" w:cs="Times New Roman"/>
      <w:szCs w:val="21"/>
      <w:lang w:val="en-US" w:eastAsia="zh-CN" w:bidi="ar-SA"/>
    </w:rPr>
  </w:style>
  <w:style w:type="paragraph" w:customStyle="1" w:styleId="47">
    <w:name w:val="null46"/>
    <w:qFormat/>
    <w:uiPriority w:val="0"/>
    <w:rPr>
      <w:rFonts w:ascii="Times New Roman" w:hAnsi="Times New Roman" w:eastAsia="宋体" w:cs="Times New Roman"/>
      <w:szCs w:val="21"/>
      <w:lang w:val="en-US" w:eastAsia="zh-CN" w:bidi="ar-SA"/>
    </w:rPr>
  </w:style>
  <w:style w:type="paragraph" w:customStyle="1" w:styleId="48">
    <w:name w:val="null47"/>
    <w:qFormat/>
    <w:uiPriority w:val="0"/>
    <w:rPr>
      <w:rFonts w:ascii="Times New Roman" w:hAnsi="Times New Roman" w:eastAsia="宋体" w:cs="Times New Roman"/>
      <w:szCs w:val="21"/>
      <w:lang w:val="en-US" w:eastAsia="zh-CN" w:bidi="ar-SA"/>
    </w:rPr>
  </w:style>
  <w:style w:type="paragraph" w:customStyle="1" w:styleId="49">
    <w:name w:val="null48"/>
    <w:qFormat/>
    <w:uiPriority w:val="0"/>
    <w:rPr>
      <w:rFonts w:ascii="Times New Roman" w:hAnsi="Times New Roman" w:eastAsia="宋体" w:cs="Times New Roman"/>
      <w:szCs w:val="21"/>
      <w:lang w:val="en-US" w:eastAsia="zh-CN" w:bidi="ar-SA"/>
    </w:rPr>
  </w:style>
  <w:style w:type="paragraph" w:customStyle="1" w:styleId="50">
    <w:name w:val="null58"/>
    <w:qFormat/>
    <w:uiPriority w:val="0"/>
    <w:rPr>
      <w:rFonts w:ascii="Times New Roman" w:hAnsi="Times New Roman" w:eastAsia="宋体" w:cs="Times New Roman"/>
      <w:szCs w:val="21"/>
      <w:lang w:val="en-US" w:eastAsia="zh-CN" w:bidi="ar-SA"/>
    </w:rPr>
  </w:style>
  <w:style w:type="paragraph" w:customStyle="1" w:styleId="51">
    <w:name w:val="null59"/>
    <w:qFormat/>
    <w:uiPriority w:val="0"/>
    <w:rPr>
      <w:rFonts w:ascii="Times New Roman" w:hAnsi="Times New Roman" w:eastAsia="宋体" w:cs="Times New Roman"/>
      <w:szCs w:val="21"/>
      <w:lang w:val="en-US" w:eastAsia="zh-CN" w:bidi="ar-SA"/>
    </w:rPr>
  </w:style>
  <w:style w:type="paragraph" w:customStyle="1" w:styleId="52">
    <w:name w:val="null60"/>
    <w:qFormat/>
    <w:uiPriority w:val="0"/>
    <w:rPr>
      <w:rFonts w:ascii="Times New Roman" w:hAnsi="Times New Roman" w:eastAsia="宋体" w:cs="Times New Roman"/>
      <w:szCs w:val="21"/>
      <w:lang w:val="en-US" w:eastAsia="zh-CN" w:bidi="ar-SA"/>
    </w:rPr>
  </w:style>
  <w:style w:type="paragraph" w:customStyle="1" w:styleId="53">
    <w:name w:val="null67"/>
    <w:qFormat/>
    <w:uiPriority w:val="0"/>
    <w:rPr>
      <w:rFonts w:ascii="Times New Roman" w:hAnsi="Times New Roman" w:eastAsia="宋体" w:cs="Times New Roman"/>
      <w:szCs w:val="21"/>
      <w:lang w:val="en-US" w:eastAsia="zh-CN" w:bidi="ar-SA"/>
    </w:rPr>
  </w:style>
  <w:style w:type="paragraph" w:customStyle="1" w:styleId="54">
    <w:name w:val="null68"/>
    <w:qFormat/>
    <w:uiPriority w:val="0"/>
    <w:rPr>
      <w:rFonts w:ascii="Times New Roman" w:hAnsi="Times New Roman" w:eastAsia="宋体" w:cs="Times New Roman"/>
      <w:szCs w:val="21"/>
      <w:lang w:val="en-US" w:eastAsia="zh-CN" w:bidi="ar-SA"/>
    </w:rPr>
  </w:style>
  <w:style w:type="paragraph" w:customStyle="1" w:styleId="55">
    <w:name w:val="null69"/>
    <w:qFormat/>
    <w:uiPriority w:val="0"/>
    <w:rPr>
      <w:rFonts w:ascii="Times New Roman" w:hAnsi="Times New Roman" w:eastAsia="宋体" w:cs="Times New Roman"/>
      <w:szCs w:val="21"/>
      <w:lang w:val="en-US" w:eastAsia="zh-CN" w:bidi="ar-SA"/>
    </w:rPr>
  </w:style>
  <w:style w:type="paragraph" w:customStyle="1" w:styleId="56">
    <w:name w:val="null70"/>
    <w:qFormat/>
    <w:uiPriority w:val="0"/>
    <w:rPr>
      <w:rFonts w:ascii="Times New Roman" w:hAnsi="Times New Roman" w:eastAsia="宋体" w:cs="Times New Roman"/>
      <w:szCs w:val="21"/>
      <w:lang w:val="en-US" w:eastAsia="zh-CN" w:bidi="ar-SA"/>
    </w:rPr>
  </w:style>
  <w:style w:type="paragraph" w:customStyle="1" w:styleId="57">
    <w:name w:val="null71"/>
    <w:qFormat/>
    <w:uiPriority w:val="0"/>
    <w:rPr>
      <w:rFonts w:ascii="Times New Roman" w:hAnsi="Times New Roman" w:eastAsia="宋体" w:cs="Times New Roman"/>
      <w:szCs w:val="21"/>
      <w:lang w:val="en-US" w:eastAsia="zh-CN" w:bidi="ar-SA"/>
    </w:rPr>
  </w:style>
  <w:style w:type="paragraph" w:customStyle="1" w:styleId="58">
    <w:name w:val="null72"/>
    <w:qFormat/>
    <w:uiPriority w:val="0"/>
    <w:rPr>
      <w:rFonts w:ascii="Times New Roman" w:hAnsi="Times New Roman" w:eastAsia="宋体" w:cs="Times New Roman"/>
      <w:szCs w:val="21"/>
      <w:lang w:val="en-US" w:eastAsia="zh-CN" w:bidi="ar-SA"/>
    </w:rPr>
  </w:style>
  <w:style w:type="paragraph" w:customStyle="1" w:styleId="59">
    <w:name w:val="null76"/>
    <w:qFormat/>
    <w:uiPriority w:val="0"/>
    <w:rPr>
      <w:rFonts w:ascii="Times New Roman" w:hAnsi="Times New Roman" w:eastAsia="宋体" w:cs="Times New Roman"/>
      <w:szCs w:val="21"/>
      <w:lang w:val="en-US" w:eastAsia="zh-CN" w:bidi="ar-SA"/>
    </w:rPr>
  </w:style>
  <w:style w:type="paragraph" w:customStyle="1" w:styleId="60">
    <w:name w:val="null77"/>
    <w:qFormat/>
    <w:uiPriority w:val="0"/>
    <w:rPr>
      <w:rFonts w:ascii="Times New Roman" w:hAnsi="Times New Roman" w:eastAsia="宋体" w:cs="Times New Roman"/>
      <w:szCs w:val="21"/>
      <w:lang w:val="en-US" w:eastAsia="zh-CN" w:bidi="ar-SA"/>
    </w:rPr>
  </w:style>
  <w:style w:type="paragraph" w:customStyle="1" w:styleId="61">
    <w:name w:val="null78"/>
    <w:qFormat/>
    <w:uiPriority w:val="0"/>
    <w:rPr>
      <w:rFonts w:ascii="Times New Roman" w:hAnsi="Times New Roman" w:eastAsia="宋体" w:cs="Times New Roman"/>
      <w:szCs w:val="21"/>
      <w:lang w:val="en-US" w:eastAsia="zh-CN" w:bidi="ar-SA"/>
    </w:rPr>
  </w:style>
  <w:style w:type="paragraph" w:customStyle="1" w:styleId="62">
    <w:name w:val="null82"/>
    <w:qFormat/>
    <w:uiPriority w:val="0"/>
    <w:rPr>
      <w:rFonts w:ascii="Times New Roman" w:hAnsi="Times New Roman" w:eastAsia="宋体" w:cs="Times New Roman"/>
      <w:szCs w:val="21"/>
      <w:lang w:val="en-US" w:eastAsia="zh-CN" w:bidi="ar-SA"/>
    </w:rPr>
  </w:style>
  <w:style w:type="paragraph" w:customStyle="1" w:styleId="63">
    <w:name w:val="null83"/>
    <w:qFormat/>
    <w:uiPriority w:val="0"/>
    <w:rPr>
      <w:rFonts w:ascii="Times New Roman" w:hAnsi="Times New Roman" w:eastAsia="宋体" w:cs="Times New Roman"/>
      <w:szCs w:val="21"/>
      <w:lang w:val="en-US" w:eastAsia="zh-CN" w:bidi="ar-SA"/>
    </w:rPr>
  </w:style>
  <w:style w:type="paragraph" w:customStyle="1" w:styleId="64">
    <w:name w:val="null84"/>
    <w:qFormat/>
    <w:uiPriority w:val="0"/>
    <w:rPr>
      <w:rFonts w:ascii="Times New Roman" w:hAnsi="Times New Roman" w:eastAsia="宋体" w:cs="Times New Roman"/>
      <w:szCs w:val="21"/>
      <w:lang w:val="en-US" w:eastAsia="zh-CN" w:bidi="ar-SA"/>
    </w:rPr>
  </w:style>
  <w:style w:type="paragraph" w:customStyle="1" w:styleId="65">
    <w:name w:val="null85"/>
    <w:qFormat/>
    <w:uiPriority w:val="0"/>
    <w:rPr>
      <w:rFonts w:ascii="Times New Roman" w:hAnsi="Times New Roman" w:eastAsia="宋体" w:cs="Times New Roman"/>
      <w:szCs w:val="21"/>
      <w:lang w:val="en-US" w:eastAsia="zh-CN" w:bidi="ar-SA"/>
    </w:rPr>
  </w:style>
  <w:style w:type="paragraph" w:customStyle="1" w:styleId="66">
    <w:name w:val="null86"/>
    <w:qFormat/>
    <w:uiPriority w:val="0"/>
    <w:rPr>
      <w:rFonts w:ascii="Times New Roman" w:hAnsi="Times New Roman" w:eastAsia="宋体" w:cs="Times New Roman"/>
      <w:szCs w:val="21"/>
      <w:lang w:val="en-US" w:eastAsia="zh-CN" w:bidi="ar-SA"/>
    </w:rPr>
  </w:style>
  <w:style w:type="paragraph" w:customStyle="1" w:styleId="67">
    <w:name w:val="null87"/>
    <w:qFormat/>
    <w:uiPriority w:val="0"/>
    <w:rPr>
      <w:rFonts w:ascii="Times New Roman" w:hAnsi="Times New Roman" w:eastAsia="宋体" w:cs="Times New Roman"/>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9744</Words>
  <Characters>10256</Characters>
  <Lines>0</Lines>
  <Paragraphs>0</Paragraphs>
  <TotalTime>10</TotalTime>
  <ScaleCrop>false</ScaleCrop>
  <LinksUpToDate>false</LinksUpToDate>
  <CharactersWithSpaces>10828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cp:lastModifiedBy>
  <dcterms:modified xsi:type="dcterms:W3CDTF">2025-10-23T02:56:49Z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FB00008AF9734EEFAAAAF752AA3E152D_13</vt:lpwstr>
  </property>
  <property fmtid="{D5CDD505-2E9C-101B-9397-08002B2CF9AE}" pid="4" name="KSOTemplateDocerSaveRecord">
    <vt:lpwstr>eyJoZGlkIjoiZWQxZjNmOWI4MjYxMjE3YWYxMWY4NzIzOWZkNTY1ZGEiLCJ1c2VySWQiOiI4MjkwNzMwMzkifQ==</vt:lpwstr>
  </property>
</Properties>
</file>